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国泰金牛创新成长股票型证券投资基金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2014年第3季度报告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2014年9月30日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国泰基金管理有限公司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中国农业银行股份有限公司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二〇一四年十月二十七日</w:t>
      </w:r>
    </w:p>
    <w:p w:rsidR="00750D48" w:rsidRPr="00264E55" w:rsidRDefault="00750D48" w:rsidP="0069494E">
      <w:pPr>
        <w:pStyle w:val="1"/>
        <w:spacing w:beforeLines="100" w:after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 xml:space="preserve">基金管理人的董事会及董事保证本报告所载资料不存在虚假记载、误导性陈述或重大遗漏，并对其内容的真实性、准确性和完整性承担个别及连带责任。 </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 xml:space="preserve">基金托管人中国农业银行股份有限公司根据本基金合同规定，于2014年10月23日复核了本报告中的财务指标、净值表现和投资组合报告等内容，保证复核内容不存在虚假记载、误导性陈述或者重大遗漏。 </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 xml:space="preserve">基金管理人承诺以诚实信用、勤勉尽责的原则管理和运用基金资产，但不保证基金一定盈利。 </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 xml:space="preserve">基金的过往业绩并不代表其未来表现。投资有风险，投资者在作出投资决策前应仔细阅读本基金的招募说明书。 </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 xml:space="preserve">本报告中财务资料未经审计。 </w:t>
      </w:r>
    </w:p>
    <w:p w:rsidR="00750D48" w:rsidRPr="00264E55"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t>本报告期自2014年7月1日起至9月30日止。</w:t>
      </w:r>
    </w:p>
    <w:p w:rsidR="00750D48" w:rsidRPr="00264E55" w:rsidRDefault="00750D48" w:rsidP="0069494E">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kern w:val="0"/>
                <w:sz w:val="24"/>
                <w:szCs w:val="24"/>
              </w:rPr>
            </w:pPr>
            <w:r w:rsidRPr="00264E55">
              <w:rPr>
                <w:rFonts w:ascii="宋体" w:hAnsi="宋体" w:cs="宋体" w:hint="eastAsia"/>
                <w:kern w:val="0"/>
                <w:sz w:val="24"/>
                <w:szCs w:val="24"/>
              </w:rPr>
              <w:t>基金简称</w:t>
            </w:r>
          </w:p>
        </w:tc>
        <w:tc>
          <w:tcPr>
            <w:tcW w:w="5479" w:type="dxa"/>
          </w:tcPr>
          <w:p w:rsidR="00750D48" w:rsidRPr="00264E55" w:rsidRDefault="00750D48" w:rsidP="007B5AFB">
            <w:pPr>
              <w:adjustRightInd w:val="0"/>
              <w:spacing w:before="29" w:line="360" w:lineRule="auto"/>
              <w:ind w:left="17"/>
              <w:jc w:val="left"/>
              <w:rPr>
                <w:rFonts w:ascii="宋体"/>
                <w:color w:val="000000"/>
                <w:kern w:val="0"/>
                <w:sz w:val="24"/>
                <w:szCs w:val="24"/>
              </w:rPr>
            </w:pPr>
            <w:r w:rsidRPr="00264E55">
              <w:rPr>
                <w:rFonts w:ascii="宋体"/>
                <w:color w:val="000000"/>
                <w:kern w:val="0"/>
                <w:sz w:val="24"/>
                <w:szCs w:val="24"/>
              </w:rPr>
              <w:t>国泰金牛创新股票</w:t>
            </w:r>
          </w:p>
        </w:tc>
      </w:tr>
      <w:tr w:rsidR="00750D48" w:rsidRPr="00264E55" w:rsidTr="00D94B8D">
        <w:tc>
          <w:tcPr>
            <w:tcW w:w="2835" w:type="dxa"/>
          </w:tcPr>
          <w:p w:rsidR="00750D48" w:rsidRPr="00264E55" w:rsidRDefault="00750D48">
            <w:pPr>
              <w:adjustRightInd w:val="0"/>
              <w:spacing w:before="29" w:line="360" w:lineRule="auto"/>
              <w:ind w:left="17"/>
              <w:jc w:val="left"/>
              <w:rPr>
                <w:rFonts w:ascii="宋体" w:cs="宋体"/>
                <w:kern w:val="0"/>
                <w:sz w:val="24"/>
                <w:szCs w:val="24"/>
              </w:rPr>
            </w:pPr>
            <w:r w:rsidRPr="00264E55">
              <w:rPr>
                <w:rFonts w:ascii="宋体" w:hAnsi="宋体" w:cs="宋体" w:hint="eastAsia"/>
                <w:kern w:val="0"/>
                <w:sz w:val="24"/>
                <w:szCs w:val="24"/>
              </w:rPr>
              <w:t>基金主代码</w:t>
            </w:r>
          </w:p>
        </w:tc>
        <w:tc>
          <w:tcPr>
            <w:tcW w:w="5479" w:type="dxa"/>
          </w:tcPr>
          <w:p w:rsidR="00750D48" w:rsidRPr="00264E55" w:rsidRDefault="00750D48">
            <w:pPr>
              <w:adjustRightInd w:val="0"/>
              <w:spacing w:before="29" w:line="360" w:lineRule="auto"/>
              <w:ind w:left="17"/>
              <w:jc w:val="left"/>
              <w:rPr>
                <w:rFonts w:ascii="宋体" w:hAnsi="宋体"/>
                <w:color w:val="000000"/>
                <w:kern w:val="0"/>
                <w:sz w:val="24"/>
                <w:szCs w:val="24"/>
              </w:rPr>
            </w:pPr>
            <w:r w:rsidRPr="00264E55">
              <w:rPr>
                <w:rFonts w:ascii="宋体" w:hAnsi="宋体"/>
                <w:color w:val="000000"/>
                <w:kern w:val="0"/>
                <w:sz w:val="24"/>
                <w:szCs w:val="24"/>
              </w:rPr>
              <w:t>020010</w:t>
            </w:r>
          </w:p>
        </w:tc>
      </w:tr>
      <w:tr w:rsidR="00750D48" w:rsidRPr="00264E55" w:rsidTr="00D94B8D">
        <w:tc>
          <w:tcPr>
            <w:tcW w:w="2835" w:type="dxa"/>
          </w:tcPr>
          <w:p w:rsidR="00750D48" w:rsidRPr="00264E55" w:rsidRDefault="00750D48" w:rsidP="00895A8A">
            <w:pPr>
              <w:adjustRightInd w:val="0"/>
              <w:spacing w:before="29" w:line="360" w:lineRule="auto"/>
              <w:ind w:left="17"/>
              <w:jc w:val="left"/>
              <w:rPr>
                <w:rFonts w:ascii="宋体" w:cs="宋体"/>
                <w:kern w:val="0"/>
                <w:sz w:val="24"/>
                <w:szCs w:val="24"/>
              </w:rPr>
            </w:pPr>
            <w:r w:rsidRPr="00264E55">
              <w:rPr>
                <w:rFonts w:ascii="宋体" w:hAnsi="宋体" w:cs="宋体" w:hint="eastAsia"/>
                <w:kern w:val="0"/>
                <w:sz w:val="24"/>
                <w:szCs w:val="24"/>
              </w:rPr>
              <w:t>交易代码</w:t>
            </w:r>
          </w:p>
        </w:tc>
        <w:tc>
          <w:tcPr>
            <w:tcW w:w="5479" w:type="dxa"/>
          </w:tcPr>
          <w:p w:rsidR="00750D48" w:rsidRPr="00264E55" w:rsidRDefault="00750D48" w:rsidP="00895A8A">
            <w:pPr>
              <w:adjustRightInd w:val="0"/>
              <w:spacing w:before="29" w:line="360" w:lineRule="auto"/>
              <w:ind w:left="17"/>
              <w:jc w:val="left"/>
              <w:rPr>
                <w:rFonts w:ascii="宋体"/>
                <w:color w:val="000000"/>
                <w:kern w:val="0"/>
                <w:sz w:val="24"/>
                <w:szCs w:val="24"/>
              </w:rPr>
            </w:pPr>
            <w:r w:rsidRPr="00F40868">
              <w:rPr>
                <w:rFonts w:ascii="宋体" w:hAnsi="宋体" w:cs="宋体"/>
                <w:kern w:val="0"/>
                <w:sz w:val="24"/>
              </w:rPr>
              <w:t>020010</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t>基金运作方式</w:t>
            </w:r>
          </w:p>
        </w:tc>
        <w:tc>
          <w:tcPr>
            <w:tcW w:w="5479" w:type="dxa"/>
          </w:tcPr>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color w:val="000000"/>
                <w:kern w:val="0"/>
                <w:sz w:val="24"/>
                <w:szCs w:val="24"/>
              </w:rPr>
              <w:t>契约型开放式</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t>基金合同生效日</w:t>
            </w:r>
          </w:p>
        </w:tc>
        <w:tc>
          <w:tcPr>
            <w:tcW w:w="5479" w:type="dxa"/>
          </w:tcPr>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hAnsi="宋体"/>
                <w:color w:val="000000"/>
                <w:kern w:val="0"/>
                <w:sz w:val="24"/>
                <w:szCs w:val="24"/>
              </w:rPr>
              <w:t>2007年5月18日</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t>报告期末基金份额总额</w:t>
            </w:r>
          </w:p>
        </w:tc>
        <w:tc>
          <w:tcPr>
            <w:tcW w:w="5479" w:type="dxa"/>
          </w:tcPr>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color w:val="000000"/>
                <w:kern w:val="0"/>
                <w:sz w:val="24"/>
                <w:szCs w:val="24"/>
              </w:rPr>
              <w:t>3,752,225,039.84</w:t>
            </w:r>
            <w:r w:rsidRPr="00264E55">
              <w:rPr>
                <w:rFonts w:ascii="宋体" w:hAnsi="宋体" w:hint="eastAsia"/>
                <w:color w:val="000000"/>
                <w:kern w:val="0"/>
                <w:sz w:val="24"/>
                <w:szCs w:val="24"/>
              </w:rPr>
              <w:t>份</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t>投资目标</w:t>
            </w:r>
          </w:p>
        </w:tc>
        <w:tc>
          <w:tcPr>
            <w:tcW w:w="5479" w:type="dxa"/>
          </w:tcPr>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color w:val="000000"/>
                <w:kern w:val="0"/>
                <w:sz w:val="24"/>
                <w:szCs w:val="24"/>
              </w:rPr>
              <w:t>本基金为成长型股票基金，主要投资于通过各类创新预期能带来公司未来高速增长的创新型上市公司股票，在有效的风险控制前提下，追求基金资产的长期增值。</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t>投资策略</w:t>
            </w:r>
          </w:p>
        </w:tc>
        <w:tc>
          <w:tcPr>
            <w:tcW w:w="5479" w:type="dxa"/>
          </w:tcPr>
          <w:p w:rsidR="00A0086C" w:rsidRDefault="00F23D76">
            <w:pPr>
              <w:adjustRightInd w:val="0"/>
              <w:spacing w:before="29" w:line="360" w:lineRule="auto"/>
              <w:ind w:left="17"/>
              <w:jc w:val="left"/>
              <w:rPr>
                <w:rFonts w:ascii="宋体"/>
                <w:color w:val="000000"/>
                <w:sz w:val="24"/>
                <w:szCs w:val="24"/>
              </w:rPr>
            </w:pPr>
            <w:r>
              <w:rPr>
                <w:rFonts w:ascii="宋体"/>
                <w:color w:val="000000"/>
                <w:kern w:val="0"/>
                <w:sz w:val="24"/>
                <w:szCs w:val="24"/>
              </w:rPr>
              <w:t>①</w:t>
            </w:r>
            <w:r>
              <w:rPr>
                <w:rFonts w:ascii="宋体"/>
                <w:color w:val="000000"/>
                <w:kern w:val="0"/>
                <w:sz w:val="24"/>
                <w:szCs w:val="24"/>
              </w:rPr>
              <w:t>大类资产配置策略</w:t>
            </w:r>
          </w:p>
          <w:p w:rsidR="00A0086C" w:rsidRDefault="00F23D76">
            <w:pPr>
              <w:adjustRightInd w:val="0"/>
              <w:spacing w:before="29" w:line="360" w:lineRule="auto"/>
              <w:ind w:left="17"/>
              <w:jc w:val="left"/>
              <w:rPr>
                <w:rFonts w:ascii="宋体"/>
                <w:color w:val="000000"/>
                <w:sz w:val="24"/>
                <w:szCs w:val="24"/>
              </w:rPr>
            </w:pPr>
            <w:r>
              <w:rPr>
                <w:rFonts w:ascii="宋体"/>
                <w:color w:val="000000"/>
                <w:kern w:val="0"/>
                <w:sz w:val="24"/>
                <w:szCs w:val="24"/>
              </w:rPr>
              <w:t>本基金的大类资产配置主要通过对宏观经济运行状况、国家财政和货币政策、国家产业政策以及资</w:t>
            </w:r>
            <w:r>
              <w:rPr>
                <w:rFonts w:ascii="宋体"/>
                <w:color w:val="000000"/>
                <w:kern w:val="0"/>
                <w:sz w:val="24"/>
                <w:szCs w:val="24"/>
              </w:rPr>
              <w:lastRenderedPageBreak/>
              <w:t>本市场资金环境、证券市场走势的分析，预测宏观经济的发展趋势，并据此评价未来一段时间股票、债券市场相对收益率，主动调整股票、债券及现金类资产的配置比例。</w:t>
            </w:r>
          </w:p>
          <w:p w:rsidR="00A0086C" w:rsidRDefault="00F23D76">
            <w:pPr>
              <w:adjustRightInd w:val="0"/>
              <w:spacing w:before="29" w:line="360" w:lineRule="auto"/>
              <w:ind w:left="17"/>
              <w:jc w:val="left"/>
              <w:rPr>
                <w:rFonts w:ascii="宋体"/>
                <w:color w:val="000000"/>
                <w:sz w:val="24"/>
                <w:szCs w:val="24"/>
              </w:rPr>
            </w:pPr>
            <w:r>
              <w:rPr>
                <w:rFonts w:ascii="宋体"/>
                <w:color w:val="000000"/>
                <w:kern w:val="0"/>
                <w:sz w:val="24"/>
                <w:szCs w:val="24"/>
              </w:rPr>
              <w:t>②</w:t>
            </w:r>
            <w:r>
              <w:rPr>
                <w:rFonts w:ascii="宋体"/>
                <w:color w:val="000000"/>
                <w:kern w:val="0"/>
                <w:sz w:val="24"/>
                <w:szCs w:val="24"/>
              </w:rPr>
              <w:t>股票资产投资策略</w:t>
            </w:r>
          </w:p>
          <w:p w:rsidR="00A0086C" w:rsidRDefault="00F23D76">
            <w:pPr>
              <w:adjustRightInd w:val="0"/>
              <w:spacing w:before="29" w:line="360" w:lineRule="auto"/>
              <w:ind w:left="17"/>
              <w:jc w:val="left"/>
              <w:rPr>
                <w:rFonts w:ascii="宋体"/>
                <w:color w:val="000000"/>
                <w:sz w:val="24"/>
                <w:szCs w:val="24"/>
              </w:rPr>
            </w:pPr>
            <w:r>
              <w:rPr>
                <w:rFonts w:ascii="宋体"/>
                <w:color w:val="000000"/>
                <w:kern w:val="0"/>
                <w:sz w:val="24"/>
                <w:szCs w:val="24"/>
              </w:rPr>
              <w:t>本基金的股票资产投资将在国家发展规划所指引的产业领域内，采取自下而上的选股方法。利用</w:t>
            </w:r>
            <w:r>
              <w:rPr>
                <w:rFonts w:ascii="宋体"/>
                <w:color w:val="000000"/>
                <w:kern w:val="0"/>
                <w:sz w:val="24"/>
                <w:szCs w:val="24"/>
              </w:rPr>
              <w:t>“</w:t>
            </w:r>
            <w:r>
              <w:rPr>
                <w:rFonts w:ascii="宋体"/>
                <w:color w:val="000000"/>
                <w:kern w:val="0"/>
                <w:sz w:val="24"/>
                <w:szCs w:val="24"/>
              </w:rPr>
              <w:t>成长因子</w:t>
            </w:r>
            <w:r>
              <w:rPr>
                <w:rFonts w:ascii="宋体"/>
                <w:color w:val="000000"/>
                <w:kern w:val="0"/>
                <w:sz w:val="24"/>
                <w:szCs w:val="24"/>
              </w:rPr>
              <w:t>”</w:t>
            </w:r>
            <w:r>
              <w:rPr>
                <w:rFonts w:ascii="宋体"/>
                <w:color w:val="000000"/>
                <w:kern w:val="0"/>
                <w:sz w:val="24"/>
                <w:szCs w:val="24"/>
              </w:rPr>
              <w:t>筛选出成长型上市公司股票池；在此基础上利用公司自主开发的</w:t>
            </w:r>
            <w:r>
              <w:rPr>
                <w:rFonts w:ascii="宋体"/>
                <w:color w:val="000000"/>
                <w:kern w:val="0"/>
                <w:sz w:val="24"/>
                <w:szCs w:val="24"/>
              </w:rPr>
              <w:t>“</w:t>
            </w:r>
            <w:r>
              <w:rPr>
                <w:rFonts w:ascii="宋体"/>
                <w:color w:val="000000"/>
                <w:kern w:val="0"/>
                <w:sz w:val="24"/>
                <w:szCs w:val="24"/>
              </w:rPr>
              <w:t>创新型上市公司评价体系</w:t>
            </w:r>
            <w:r>
              <w:rPr>
                <w:rFonts w:ascii="宋体"/>
                <w:color w:val="000000"/>
                <w:kern w:val="0"/>
                <w:sz w:val="24"/>
                <w:szCs w:val="24"/>
              </w:rPr>
              <w:t>”</w:t>
            </w:r>
            <w:r>
              <w:rPr>
                <w:rFonts w:ascii="宋体"/>
                <w:color w:val="000000"/>
                <w:kern w:val="0"/>
                <w:sz w:val="24"/>
                <w:szCs w:val="24"/>
              </w:rPr>
              <w:t>，对符合创新特征的上市公司进行深入的分析和比较，筛选出通过创新能够在未来带来高速成长的上市公司，形成创新成长型上市公司股票池；最后通过相对价值评估，形成优化的股票投资组合。</w:t>
            </w:r>
          </w:p>
          <w:p w:rsidR="00A0086C" w:rsidRDefault="00F23D76">
            <w:pPr>
              <w:adjustRightInd w:val="0"/>
              <w:spacing w:before="29" w:line="360" w:lineRule="auto"/>
              <w:ind w:left="17"/>
              <w:jc w:val="left"/>
              <w:rPr>
                <w:rFonts w:ascii="宋体"/>
                <w:color w:val="000000"/>
                <w:sz w:val="24"/>
                <w:szCs w:val="24"/>
              </w:rPr>
            </w:pPr>
            <w:r>
              <w:rPr>
                <w:rFonts w:ascii="宋体"/>
                <w:color w:val="000000"/>
                <w:kern w:val="0"/>
                <w:sz w:val="24"/>
                <w:szCs w:val="24"/>
              </w:rPr>
              <w:t>③</w:t>
            </w:r>
            <w:r>
              <w:rPr>
                <w:rFonts w:ascii="宋体"/>
                <w:color w:val="000000"/>
                <w:kern w:val="0"/>
                <w:sz w:val="24"/>
                <w:szCs w:val="24"/>
              </w:rPr>
              <w:t>债券资产投资策略</w:t>
            </w:r>
          </w:p>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color w:val="000000"/>
                <w:kern w:val="0"/>
                <w:sz w:val="24"/>
                <w:szCs w:val="24"/>
              </w:rPr>
              <w:t>本基金的债券资产投资主要以长期利率趋势分析为基础，结合中短期的经济周期、宏观政策方向及收益率曲线分析，通过债券置换和收益率曲线配置等方法，实施积极的债券投资管理。</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lastRenderedPageBreak/>
              <w:t>业绩比较基准</w:t>
            </w:r>
          </w:p>
        </w:tc>
        <w:tc>
          <w:tcPr>
            <w:tcW w:w="5479" w:type="dxa"/>
          </w:tcPr>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color w:val="000000"/>
                <w:kern w:val="0"/>
                <w:sz w:val="24"/>
                <w:szCs w:val="24"/>
              </w:rPr>
              <w:t>本基金的业绩比较基准=80%</w:t>
            </w:r>
            <w:r w:rsidRPr="00264E55">
              <w:rPr>
                <w:rFonts w:ascii="宋体"/>
                <w:color w:val="000000"/>
                <w:kern w:val="0"/>
                <w:sz w:val="24"/>
                <w:szCs w:val="24"/>
              </w:rPr>
              <w:t>×</w:t>
            </w:r>
            <w:r w:rsidRPr="00264E55">
              <w:rPr>
                <w:rFonts w:ascii="宋体"/>
                <w:color w:val="000000"/>
                <w:kern w:val="0"/>
                <w:sz w:val="24"/>
                <w:szCs w:val="24"/>
              </w:rPr>
              <w:t>[沪深300指数收益率]+20%</w:t>
            </w:r>
            <w:r w:rsidRPr="00264E55">
              <w:rPr>
                <w:rFonts w:ascii="宋体"/>
                <w:color w:val="000000"/>
                <w:kern w:val="0"/>
                <w:sz w:val="24"/>
                <w:szCs w:val="24"/>
              </w:rPr>
              <w:t>×</w:t>
            </w:r>
            <w:r w:rsidRPr="00264E55">
              <w:rPr>
                <w:rFonts w:ascii="宋体"/>
                <w:color w:val="000000"/>
                <w:kern w:val="0"/>
                <w:sz w:val="24"/>
                <w:szCs w:val="24"/>
              </w:rPr>
              <w:t>[上证国债指数收益率]</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t>风险收益特征</w:t>
            </w:r>
          </w:p>
        </w:tc>
        <w:tc>
          <w:tcPr>
            <w:tcW w:w="5479" w:type="dxa"/>
          </w:tcPr>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color w:val="000000"/>
                <w:kern w:val="0"/>
                <w:sz w:val="24"/>
                <w:szCs w:val="24"/>
              </w:rPr>
              <w:t>本基金属于具有较高预期风险和预期收益的证券投资基金。</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t>基金管理人</w:t>
            </w:r>
          </w:p>
        </w:tc>
        <w:tc>
          <w:tcPr>
            <w:tcW w:w="5479" w:type="dxa"/>
          </w:tcPr>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color w:val="000000"/>
                <w:kern w:val="0"/>
                <w:sz w:val="24"/>
                <w:szCs w:val="24"/>
              </w:rPr>
              <w:t>国泰基金管理有限公司</w:t>
            </w:r>
          </w:p>
        </w:tc>
      </w:tr>
      <w:tr w:rsidR="00750D48" w:rsidRPr="00264E55" w:rsidTr="00500A03">
        <w:tc>
          <w:tcPr>
            <w:tcW w:w="2835" w:type="dxa"/>
          </w:tcPr>
          <w:p w:rsidR="00750D48" w:rsidRPr="00264E55" w:rsidRDefault="00750D48" w:rsidP="007B5AFB">
            <w:pPr>
              <w:adjustRightInd w:val="0"/>
              <w:spacing w:before="29" w:line="360" w:lineRule="auto"/>
              <w:ind w:left="17"/>
              <w:jc w:val="left"/>
              <w:rPr>
                <w:rFonts w:ascii="宋体"/>
                <w:sz w:val="24"/>
                <w:szCs w:val="24"/>
              </w:rPr>
            </w:pPr>
            <w:r w:rsidRPr="00264E55">
              <w:rPr>
                <w:rFonts w:ascii="宋体" w:hAnsi="宋体" w:cs="宋体" w:hint="eastAsia"/>
                <w:kern w:val="0"/>
                <w:sz w:val="24"/>
                <w:szCs w:val="24"/>
              </w:rPr>
              <w:t>基金托管人</w:t>
            </w:r>
          </w:p>
        </w:tc>
        <w:tc>
          <w:tcPr>
            <w:tcW w:w="5479" w:type="dxa"/>
          </w:tcPr>
          <w:p w:rsidR="00750D48" w:rsidRPr="00264E55" w:rsidRDefault="00750D48" w:rsidP="007B5AFB">
            <w:pPr>
              <w:adjustRightInd w:val="0"/>
              <w:spacing w:before="29" w:line="360" w:lineRule="auto"/>
              <w:ind w:left="17"/>
              <w:jc w:val="left"/>
              <w:rPr>
                <w:rFonts w:ascii="宋体"/>
                <w:color w:val="000000"/>
                <w:sz w:val="24"/>
                <w:szCs w:val="24"/>
              </w:rPr>
            </w:pPr>
            <w:r w:rsidRPr="00264E55">
              <w:rPr>
                <w:rFonts w:ascii="宋体"/>
                <w:color w:val="000000"/>
                <w:kern w:val="0"/>
                <w:sz w:val="24"/>
                <w:szCs w:val="24"/>
              </w:rPr>
              <w:t>中国农业银行股份有限公司</w:t>
            </w:r>
          </w:p>
        </w:tc>
      </w:tr>
    </w:tbl>
    <w:p w:rsidR="00750D48" w:rsidRPr="00264E55" w:rsidRDefault="00750D48" w:rsidP="0069494E">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4962"/>
      </w:tblGrid>
      <w:tr w:rsidR="00B426E0" w:rsidRPr="00264E55" w:rsidTr="00B426E0">
        <w:tc>
          <w:tcPr>
            <w:tcW w:w="3402" w:type="dxa"/>
            <w:vAlign w:val="center"/>
          </w:tcPr>
          <w:p w:rsidR="00750D48" w:rsidRPr="00264E55" w:rsidRDefault="00750D48" w:rsidP="007B5AFB">
            <w:pPr>
              <w:adjustRightInd w:val="0"/>
              <w:spacing w:before="29" w:line="360" w:lineRule="auto"/>
              <w:ind w:left="17"/>
              <w:jc w:val="center"/>
              <w:rPr>
                <w:rFonts w:ascii="宋体"/>
                <w:kern w:val="0"/>
                <w:sz w:val="24"/>
                <w:szCs w:val="24"/>
              </w:rPr>
            </w:pPr>
            <w:r w:rsidRPr="00264E55">
              <w:rPr>
                <w:rFonts w:ascii="宋体" w:hAnsi="宋体" w:cs="宋体" w:hint="eastAsia"/>
                <w:kern w:val="0"/>
                <w:sz w:val="24"/>
                <w:szCs w:val="24"/>
              </w:rPr>
              <w:lastRenderedPageBreak/>
              <w:t>主要财务指标</w:t>
            </w:r>
          </w:p>
        </w:tc>
        <w:tc>
          <w:tcPr>
            <w:tcW w:w="4962" w:type="dxa"/>
            <w:vAlign w:val="center"/>
          </w:tcPr>
          <w:p w:rsidR="00750D48" w:rsidRPr="00264E55" w:rsidRDefault="00750D48" w:rsidP="009C60F7">
            <w:pPr>
              <w:adjustRightInd w:val="0"/>
              <w:spacing w:before="29" w:line="360" w:lineRule="auto"/>
              <w:ind w:left="17"/>
              <w:jc w:val="center"/>
              <w:rPr>
                <w:rFonts w:ascii="宋体" w:cs="宋体"/>
                <w:color w:val="000000"/>
                <w:sz w:val="24"/>
                <w:szCs w:val="24"/>
              </w:rPr>
            </w:pPr>
            <w:r w:rsidRPr="00264E55">
              <w:rPr>
                <w:rFonts w:ascii="宋体" w:hAnsi="宋体" w:cs="宋体" w:hint="eastAsia"/>
                <w:color w:val="000000"/>
                <w:sz w:val="24"/>
                <w:szCs w:val="24"/>
              </w:rPr>
              <w:t>报告期</w:t>
            </w:r>
          </w:p>
          <w:p w:rsidR="00750D48" w:rsidRPr="00264E55" w:rsidRDefault="00750D48" w:rsidP="009C60F7">
            <w:pPr>
              <w:adjustRightInd w:val="0"/>
              <w:spacing w:before="29" w:line="360" w:lineRule="auto"/>
              <w:ind w:left="17"/>
              <w:jc w:val="center"/>
              <w:rPr>
                <w:rFonts w:ascii="宋体"/>
                <w:color w:val="000000"/>
                <w:sz w:val="24"/>
                <w:szCs w:val="24"/>
              </w:rPr>
            </w:pPr>
            <w:r w:rsidRPr="00264E55">
              <w:rPr>
                <w:rFonts w:ascii="宋体" w:hAnsi="宋体" w:cs="宋体"/>
                <w:color w:val="000000"/>
                <w:sz w:val="24"/>
                <w:szCs w:val="24"/>
              </w:rPr>
              <w:t>(2014年7月1日-2014年9月30日)</w:t>
            </w:r>
          </w:p>
        </w:tc>
      </w:tr>
      <w:tr w:rsidR="00B426E0" w:rsidRPr="00264E55" w:rsidTr="00B426E0">
        <w:tc>
          <w:tcPr>
            <w:tcW w:w="3402" w:type="dxa"/>
          </w:tcPr>
          <w:p w:rsidR="00750D48" w:rsidRPr="00264E55" w:rsidRDefault="00750D48" w:rsidP="007B5AFB">
            <w:pPr>
              <w:adjustRightInd w:val="0"/>
              <w:spacing w:before="29" w:line="360" w:lineRule="auto"/>
              <w:ind w:left="17"/>
              <w:rPr>
                <w:rFonts w:ascii="宋体"/>
                <w:kern w:val="0"/>
                <w:sz w:val="24"/>
                <w:szCs w:val="24"/>
              </w:rPr>
            </w:pPr>
            <w:r w:rsidRPr="00264E55">
              <w:rPr>
                <w:rFonts w:ascii="宋体" w:hAnsi="宋体" w:cs="方正仿宋简体"/>
                <w:kern w:val="0"/>
                <w:sz w:val="24"/>
                <w:szCs w:val="24"/>
              </w:rPr>
              <w:t>1.</w:t>
            </w:r>
            <w:r w:rsidRPr="00264E55">
              <w:rPr>
                <w:rFonts w:ascii="宋体" w:hAnsi="宋体" w:cs="宋体" w:hint="eastAsia"/>
                <w:kern w:val="0"/>
                <w:sz w:val="24"/>
                <w:szCs w:val="24"/>
              </w:rPr>
              <w:t>本期已实现收益</w:t>
            </w:r>
          </w:p>
        </w:tc>
        <w:tc>
          <w:tcPr>
            <w:tcW w:w="4962" w:type="dxa"/>
            <w:vAlign w:val="bottom"/>
          </w:tcPr>
          <w:p w:rsidR="00750D48" w:rsidRPr="00264E55" w:rsidRDefault="00750D48" w:rsidP="007B5AFB">
            <w:pPr>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127,352,758.78</w:t>
            </w:r>
          </w:p>
        </w:tc>
      </w:tr>
      <w:tr w:rsidR="00B426E0" w:rsidRPr="00264E55" w:rsidTr="00B426E0">
        <w:tc>
          <w:tcPr>
            <w:tcW w:w="3402" w:type="dxa"/>
          </w:tcPr>
          <w:p w:rsidR="00750D48" w:rsidRPr="00264E55" w:rsidRDefault="00750D48" w:rsidP="007B5AFB">
            <w:pPr>
              <w:adjustRightInd w:val="0"/>
              <w:spacing w:before="29" w:line="360" w:lineRule="auto"/>
              <w:ind w:left="17"/>
              <w:rPr>
                <w:rFonts w:ascii="宋体"/>
                <w:kern w:val="0"/>
                <w:sz w:val="24"/>
                <w:szCs w:val="24"/>
              </w:rPr>
            </w:pPr>
            <w:r w:rsidRPr="00264E55">
              <w:rPr>
                <w:rFonts w:ascii="宋体" w:hAnsi="宋体" w:cs="方正仿宋简体"/>
                <w:kern w:val="0"/>
                <w:sz w:val="24"/>
                <w:szCs w:val="24"/>
              </w:rPr>
              <w:t>2.</w:t>
            </w:r>
            <w:r w:rsidRPr="00264E55">
              <w:rPr>
                <w:rFonts w:ascii="宋体" w:hAnsi="宋体" w:cs="宋体" w:hint="eastAsia"/>
                <w:kern w:val="0"/>
                <w:sz w:val="24"/>
                <w:szCs w:val="24"/>
              </w:rPr>
              <w:t>本期利润</w:t>
            </w:r>
          </w:p>
        </w:tc>
        <w:tc>
          <w:tcPr>
            <w:tcW w:w="4962" w:type="dxa"/>
            <w:vAlign w:val="bottom"/>
          </w:tcPr>
          <w:p w:rsidR="00750D48" w:rsidRPr="00264E55" w:rsidRDefault="00750D48" w:rsidP="007B5AFB">
            <w:pPr>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492,553,289.68</w:t>
            </w:r>
          </w:p>
        </w:tc>
      </w:tr>
      <w:tr w:rsidR="00B426E0" w:rsidRPr="00264E55" w:rsidTr="00B426E0">
        <w:tc>
          <w:tcPr>
            <w:tcW w:w="3402" w:type="dxa"/>
          </w:tcPr>
          <w:p w:rsidR="00750D48" w:rsidRPr="00264E55" w:rsidRDefault="00750D48" w:rsidP="007B5AFB">
            <w:pPr>
              <w:adjustRightInd w:val="0"/>
              <w:spacing w:before="29" w:line="360" w:lineRule="auto"/>
              <w:ind w:left="17"/>
              <w:rPr>
                <w:rFonts w:ascii="宋体"/>
                <w:kern w:val="0"/>
                <w:sz w:val="24"/>
                <w:szCs w:val="24"/>
              </w:rPr>
            </w:pPr>
            <w:r w:rsidRPr="00264E55">
              <w:rPr>
                <w:rFonts w:ascii="宋体" w:hAnsi="宋体" w:cs="方正仿宋简体"/>
                <w:kern w:val="0"/>
                <w:sz w:val="24"/>
                <w:szCs w:val="24"/>
              </w:rPr>
              <w:t>3.</w:t>
            </w:r>
            <w:r w:rsidRPr="00264E55">
              <w:rPr>
                <w:rFonts w:ascii="宋体" w:hAnsi="宋体" w:cs="宋体" w:hint="eastAsia"/>
                <w:kern w:val="0"/>
                <w:sz w:val="24"/>
                <w:szCs w:val="24"/>
              </w:rPr>
              <w:t>加权平均基金份额本期利润</w:t>
            </w:r>
          </w:p>
        </w:tc>
        <w:tc>
          <w:tcPr>
            <w:tcW w:w="4962" w:type="dxa"/>
            <w:vAlign w:val="bottom"/>
          </w:tcPr>
          <w:p w:rsidR="00750D48" w:rsidRPr="00264E55" w:rsidRDefault="00750D48" w:rsidP="007B5AFB">
            <w:pPr>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0.1192</w:t>
            </w:r>
          </w:p>
        </w:tc>
      </w:tr>
      <w:tr w:rsidR="00B426E0" w:rsidRPr="00264E55" w:rsidTr="00B426E0">
        <w:tc>
          <w:tcPr>
            <w:tcW w:w="3402" w:type="dxa"/>
          </w:tcPr>
          <w:p w:rsidR="00750D48" w:rsidRPr="00264E55" w:rsidRDefault="00750D48" w:rsidP="007B5AFB">
            <w:pPr>
              <w:adjustRightInd w:val="0"/>
              <w:spacing w:before="29" w:line="360" w:lineRule="auto"/>
              <w:ind w:left="17"/>
              <w:rPr>
                <w:rFonts w:ascii="宋体"/>
                <w:kern w:val="0"/>
                <w:sz w:val="24"/>
                <w:szCs w:val="24"/>
              </w:rPr>
            </w:pPr>
            <w:r w:rsidRPr="00264E55">
              <w:rPr>
                <w:rFonts w:ascii="宋体" w:hAnsi="宋体" w:cs="方正仿宋简体"/>
                <w:kern w:val="0"/>
                <w:sz w:val="24"/>
                <w:szCs w:val="24"/>
              </w:rPr>
              <w:t>4.</w:t>
            </w:r>
            <w:r w:rsidRPr="00264E55">
              <w:rPr>
                <w:rFonts w:ascii="宋体" w:hAnsi="宋体" w:cs="宋体" w:hint="eastAsia"/>
                <w:kern w:val="0"/>
                <w:sz w:val="24"/>
                <w:szCs w:val="24"/>
              </w:rPr>
              <w:t>期末基金资产净值</w:t>
            </w:r>
          </w:p>
        </w:tc>
        <w:tc>
          <w:tcPr>
            <w:tcW w:w="4962" w:type="dxa"/>
          </w:tcPr>
          <w:p w:rsidR="00750D48" w:rsidRPr="00264E55" w:rsidRDefault="00750D48" w:rsidP="007B5AFB">
            <w:pPr>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5,131,076,382.37</w:t>
            </w:r>
          </w:p>
        </w:tc>
      </w:tr>
      <w:tr w:rsidR="00B426E0" w:rsidRPr="00264E55" w:rsidTr="00B426E0">
        <w:trPr>
          <w:trHeight w:val="158"/>
        </w:trPr>
        <w:tc>
          <w:tcPr>
            <w:tcW w:w="3402" w:type="dxa"/>
          </w:tcPr>
          <w:p w:rsidR="00750D48" w:rsidRPr="00264E55" w:rsidRDefault="00750D48" w:rsidP="007B5AFB">
            <w:pPr>
              <w:adjustRightInd w:val="0"/>
              <w:spacing w:before="29" w:line="360" w:lineRule="auto"/>
              <w:ind w:left="17"/>
              <w:rPr>
                <w:rFonts w:ascii="宋体"/>
                <w:kern w:val="0"/>
                <w:sz w:val="24"/>
                <w:szCs w:val="24"/>
              </w:rPr>
            </w:pPr>
            <w:r w:rsidRPr="00264E55">
              <w:rPr>
                <w:rFonts w:ascii="宋体" w:hAnsi="宋体" w:cs="方正仿宋简体"/>
                <w:kern w:val="0"/>
                <w:sz w:val="24"/>
                <w:szCs w:val="24"/>
              </w:rPr>
              <w:t>5.</w:t>
            </w:r>
            <w:r w:rsidRPr="00264E55">
              <w:rPr>
                <w:rFonts w:ascii="宋体" w:hAnsi="宋体" w:cs="宋体" w:hint="eastAsia"/>
                <w:kern w:val="0"/>
                <w:sz w:val="24"/>
                <w:szCs w:val="24"/>
              </w:rPr>
              <w:t>期末基金份额净值</w:t>
            </w:r>
          </w:p>
        </w:tc>
        <w:tc>
          <w:tcPr>
            <w:tcW w:w="4962" w:type="dxa"/>
          </w:tcPr>
          <w:p w:rsidR="00750D48" w:rsidRPr="00264E55" w:rsidRDefault="00750D48" w:rsidP="007B5AFB">
            <w:pPr>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1.367</w:t>
            </w:r>
          </w:p>
        </w:tc>
      </w:tr>
    </w:tbl>
    <w:p w:rsidR="00A0086C" w:rsidRDefault="00F23D76">
      <w:pPr>
        <w:autoSpaceDE w:val="0"/>
        <w:autoSpaceDN w:val="0"/>
        <w:adjustRightInd w:val="0"/>
        <w:spacing w:line="360" w:lineRule="auto"/>
        <w:jc w:val="left"/>
        <w:rPr>
          <w:rFonts w:ascii="宋体" w:hAnsi="宋体"/>
          <w:color w:val="000000"/>
          <w:sz w:val="24"/>
          <w:szCs w:val="24"/>
        </w:rPr>
      </w:pPr>
      <w:r>
        <w:rPr>
          <w:rFonts w:ascii="宋体" w:hAnsi="宋体"/>
          <w:color w:val="000000"/>
          <w:sz w:val="24"/>
          <w:szCs w:val="24"/>
        </w:rPr>
        <w:t>注：（1）本期已实现收益指基金本期利息收入、投资收益、其他收入（不含公允价值变动收益）扣除相关费用后的余额，本期利润为本期已实现收益加上本期公允价值变动收益；</w:t>
      </w:r>
    </w:p>
    <w:p w:rsidR="00750D48" w:rsidRPr="00264E55" w:rsidRDefault="00750D48" w:rsidP="00C5642F">
      <w:pPr>
        <w:autoSpaceDE w:val="0"/>
        <w:autoSpaceDN w:val="0"/>
        <w:adjustRightInd w:val="0"/>
        <w:spacing w:line="360" w:lineRule="auto"/>
        <w:jc w:val="left"/>
        <w:rPr>
          <w:rFonts w:ascii="宋体" w:hAnsi="宋体"/>
          <w:color w:val="000000"/>
          <w:sz w:val="24"/>
          <w:szCs w:val="24"/>
        </w:rPr>
      </w:pPr>
      <w:r w:rsidRPr="00264E55">
        <w:rPr>
          <w:rFonts w:ascii="宋体" w:hAnsi="宋体"/>
          <w:color w:val="000000"/>
          <w:sz w:val="24"/>
          <w:szCs w:val="24"/>
        </w:rPr>
        <w:t>（2）所述基金业绩指标不包括持有人认购或交易基金的各项费用，计入费用后实际收益水平要低于所列数字。</w:t>
      </w: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b/>
          <w:bCs/>
          <w:color w:val="000000"/>
          <w:kern w:val="0"/>
          <w:sz w:val="24"/>
          <w:szCs w:val="24"/>
        </w:rPr>
        <w:t xml:space="preserve"> </w:t>
      </w:r>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5"/>
        <w:gridCol w:w="1092"/>
        <w:gridCol w:w="1161"/>
        <w:gridCol w:w="1181"/>
        <w:gridCol w:w="1188"/>
        <w:gridCol w:w="1199"/>
        <w:gridCol w:w="1204"/>
      </w:tblGrid>
      <w:tr w:rsidR="00750D48" w:rsidRPr="00264E55" w:rsidTr="00B05049">
        <w:tc>
          <w:tcPr>
            <w:tcW w:w="1395" w:type="dxa"/>
            <w:vAlign w:val="center"/>
          </w:tcPr>
          <w:p w:rsidR="00750D48" w:rsidRPr="00B05049" w:rsidRDefault="00750D48" w:rsidP="00B05049">
            <w:pPr>
              <w:autoSpaceDE w:val="0"/>
              <w:autoSpaceDN w:val="0"/>
              <w:adjustRightInd w:val="0"/>
              <w:spacing w:before="29" w:line="360" w:lineRule="auto"/>
              <w:ind w:left="17"/>
              <w:jc w:val="center"/>
              <w:rPr>
                <w:rFonts w:ascii="宋体" w:hAnsi="宋体" w:cs="Arial"/>
                <w:color w:val="000000"/>
                <w:kern w:val="0"/>
                <w:sz w:val="24"/>
                <w:szCs w:val="24"/>
              </w:rPr>
            </w:pPr>
            <w:r w:rsidRPr="00B05049">
              <w:rPr>
                <w:rFonts w:ascii="宋体" w:hAnsi="宋体" w:cs="Arial" w:hint="eastAsia"/>
                <w:color w:val="000000"/>
                <w:kern w:val="0"/>
                <w:sz w:val="24"/>
                <w:szCs w:val="24"/>
              </w:rPr>
              <w:t>阶段</w:t>
            </w:r>
          </w:p>
        </w:tc>
        <w:tc>
          <w:tcPr>
            <w:tcW w:w="1092" w:type="dxa"/>
            <w:vAlign w:val="center"/>
          </w:tcPr>
          <w:p w:rsidR="00750D48" w:rsidRPr="00B05049" w:rsidRDefault="00750D48" w:rsidP="00B05049">
            <w:pPr>
              <w:autoSpaceDE w:val="0"/>
              <w:autoSpaceDN w:val="0"/>
              <w:adjustRightInd w:val="0"/>
              <w:spacing w:before="29" w:line="360" w:lineRule="auto"/>
              <w:ind w:left="17"/>
              <w:jc w:val="center"/>
              <w:rPr>
                <w:rFonts w:ascii="宋体" w:cs="Arial"/>
                <w:color w:val="000000"/>
                <w:kern w:val="0"/>
                <w:sz w:val="24"/>
                <w:szCs w:val="24"/>
              </w:rPr>
            </w:pPr>
            <w:r w:rsidRPr="00B05049">
              <w:rPr>
                <w:rFonts w:ascii="宋体" w:hAnsi="宋体" w:cs="Arial" w:hint="eastAsia"/>
                <w:color w:val="000000"/>
                <w:kern w:val="0"/>
                <w:sz w:val="24"/>
                <w:szCs w:val="24"/>
              </w:rPr>
              <w:t>净值增长率①</w:t>
            </w:r>
          </w:p>
        </w:tc>
        <w:tc>
          <w:tcPr>
            <w:tcW w:w="1161" w:type="dxa"/>
            <w:vAlign w:val="center"/>
          </w:tcPr>
          <w:p w:rsidR="00750D48" w:rsidRPr="00B05049" w:rsidRDefault="00750D48" w:rsidP="00B05049">
            <w:pPr>
              <w:autoSpaceDE w:val="0"/>
              <w:autoSpaceDN w:val="0"/>
              <w:adjustRightInd w:val="0"/>
              <w:spacing w:before="29" w:line="360" w:lineRule="auto"/>
              <w:ind w:left="17"/>
              <w:jc w:val="center"/>
              <w:rPr>
                <w:rFonts w:ascii="宋体" w:cs="Arial"/>
                <w:color w:val="000000"/>
                <w:kern w:val="0"/>
                <w:sz w:val="24"/>
                <w:szCs w:val="24"/>
              </w:rPr>
            </w:pPr>
            <w:r w:rsidRPr="00B05049">
              <w:rPr>
                <w:rFonts w:ascii="宋体" w:hAnsi="宋体" w:cs="Arial" w:hint="eastAsia"/>
                <w:color w:val="000000"/>
                <w:kern w:val="0"/>
                <w:sz w:val="24"/>
                <w:szCs w:val="24"/>
              </w:rPr>
              <w:t>净值增长率标准差②</w:t>
            </w:r>
          </w:p>
        </w:tc>
        <w:tc>
          <w:tcPr>
            <w:tcW w:w="1181" w:type="dxa"/>
            <w:vAlign w:val="center"/>
          </w:tcPr>
          <w:p w:rsidR="00750D48" w:rsidRPr="00B05049" w:rsidRDefault="00750D48" w:rsidP="00B05049">
            <w:pPr>
              <w:autoSpaceDE w:val="0"/>
              <w:autoSpaceDN w:val="0"/>
              <w:adjustRightInd w:val="0"/>
              <w:spacing w:before="29" w:line="360" w:lineRule="auto"/>
              <w:ind w:left="17"/>
              <w:jc w:val="center"/>
              <w:rPr>
                <w:rFonts w:ascii="宋体" w:cs="Arial"/>
                <w:color w:val="000000"/>
                <w:kern w:val="0"/>
                <w:sz w:val="24"/>
                <w:szCs w:val="24"/>
              </w:rPr>
            </w:pPr>
            <w:r w:rsidRPr="00B05049">
              <w:rPr>
                <w:rFonts w:ascii="宋体" w:hAnsi="宋体" w:cs="Arial" w:hint="eastAsia"/>
                <w:color w:val="000000"/>
                <w:kern w:val="0"/>
                <w:sz w:val="24"/>
                <w:szCs w:val="24"/>
              </w:rPr>
              <w:t>业绩比较基准收益率③</w:t>
            </w:r>
          </w:p>
        </w:tc>
        <w:tc>
          <w:tcPr>
            <w:tcW w:w="1188" w:type="dxa"/>
            <w:vAlign w:val="center"/>
          </w:tcPr>
          <w:p w:rsidR="00750D48" w:rsidRPr="00B05049" w:rsidRDefault="00750D48" w:rsidP="00B05049">
            <w:pPr>
              <w:autoSpaceDE w:val="0"/>
              <w:autoSpaceDN w:val="0"/>
              <w:adjustRightInd w:val="0"/>
              <w:spacing w:before="29" w:line="360" w:lineRule="auto"/>
              <w:ind w:left="17"/>
              <w:jc w:val="center"/>
              <w:rPr>
                <w:rFonts w:ascii="宋体" w:cs="Arial"/>
                <w:color w:val="000000"/>
                <w:kern w:val="0"/>
                <w:sz w:val="24"/>
                <w:szCs w:val="24"/>
              </w:rPr>
            </w:pPr>
            <w:r w:rsidRPr="00B05049">
              <w:rPr>
                <w:rFonts w:ascii="宋体" w:hAnsi="宋体" w:cs="Arial" w:hint="eastAsia"/>
                <w:color w:val="000000"/>
                <w:kern w:val="0"/>
                <w:sz w:val="24"/>
                <w:szCs w:val="24"/>
              </w:rPr>
              <w:t>业绩比较基准收益率标准差④</w:t>
            </w:r>
          </w:p>
        </w:tc>
        <w:tc>
          <w:tcPr>
            <w:tcW w:w="1199" w:type="dxa"/>
            <w:vAlign w:val="center"/>
          </w:tcPr>
          <w:p w:rsidR="00750D48" w:rsidRPr="00B05049" w:rsidRDefault="00750D48" w:rsidP="00B05049">
            <w:pPr>
              <w:autoSpaceDE w:val="0"/>
              <w:autoSpaceDN w:val="0"/>
              <w:adjustRightInd w:val="0"/>
              <w:spacing w:before="29" w:line="360" w:lineRule="auto"/>
              <w:ind w:left="17"/>
              <w:jc w:val="center"/>
              <w:rPr>
                <w:rFonts w:ascii="宋体" w:cs="Arial"/>
                <w:color w:val="000000"/>
                <w:kern w:val="0"/>
                <w:sz w:val="24"/>
                <w:szCs w:val="24"/>
              </w:rPr>
            </w:pPr>
            <w:r w:rsidRPr="00B05049">
              <w:rPr>
                <w:rFonts w:ascii="宋体" w:hAnsi="宋体" w:cs="Arial" w:hint="eastAsia"/>
                <w:color w:val="000000"/>
                <w:kern w:val="0"/>
                <w:sz w:val="24"/>
                <w:szCs w:val="24"/>
              </w:rPr>
              <w:t>①</w:t>
            </w:r>
            <w:r w:rsidRPr="00B05049">
              <w:rPr>
                <w:rFonts w:ascii="宋体" w:cs="Arial"/>
                <w:color w:val="000000"/>
                <w:kern w:val="0"/>
                <w:sz w:val="24"/>
                <w:szCs w:val="24"/>
              </w:rPr>
              <w:t>-</w:t>
            </w:r>
            <w:r w:rsidRPr="00B05049">
              <w:rPr>
                <w:rFonts w:ascii="宋体" w:hAnsi="宋体" w:cs="Arial" w:hint="eastAsia"/>
                <w:color w:val="000000"/>
                <w:kern w:val="0"/>
                <w:sz w:val="24"/>
                <w:szCs w:val="24"/>
              </w:rPr>
              <w:t>③</w:t>
            </w:r>
          </w:p>
        </w:tc>
        <w:tc>
          <w:tcPr>
            <w:tcW w:w="1204" w:type="dxa"/>
            <w:vAlign w:val="center"/>
          </w:tcPr>
          <w:p w:rsidR="00750D48" w:rsidRPr="00B05049" w:rsidRDefault="00750D48" w:rsidP="00B05049">
            <w:pPr>
              <w:autoSpaceDE w:val="0"/>
              <w:autoSpaceDN w:val="0"/>
              <w:adjustRightInd w:val="0"/>
              <w:spacing w:before="29" w:line="360" w:lineRule="auto"/>
              <w:ind w:left="17"/>
              <w:jc w:val="center"/>
              <w:rPr>
                <w:rFonts w:ascii="宋体" w:cs="Arial"/>
                <w:color w:val="000000"/>
                <w:kern w:val="0"/>
                <w:sz w:val="24"/>
                <w:szCs w:val="24"/>
              </w:rPr>
            </w:pPr>
            <w:r w:rsidRPr="00B05049">
              <w:rPr>
                <w:rFonts w:ascii="宋体" w:hAnsi="宋体" w:cs="Arial" w:hint="eastAsia"/>
                <w:color w:val="000000"/>
                <w:kern w:val="0"/>
                <w:sz w:val="24"/>
                <w:szCs w:val="24"/>
              </w:rPr>
              <w:t>②</w:t>
            </w:r>
            <w:r w:rsidRPr="00B05049">
              <w:rPr>
                <w:rFonts w:ascii="宋体" w:cs="Arial"/>
                <w:color w:val="000000"/>
                <w:kern w:val="0"/>
                <w:sz w:val="24"/>
                <w:szCs w:val="24"/>
              </w:rPr>
              <w:t>-</w:t>
            </w:r>
            <w:r w:rsidRPr="00B05049">
              <w:rPr>
                <w:rFonts w:ascii="宋体" w:hAnsi="宋体" w:cs="Arial" w:hint="eastAsia"/>
                <w:color w:val="000000"/>
                <w:kern w:val="0"/>
                <w:sz w:val="24"/>
                <w:szCs w:val="24"/>
              </w:rPr>
              <w:t>④</w:t>
            </w:r>
          </w:p>
        </w:tc>
      </w:tr>
      <w:tr w:rsidR="00A0086C">
        <w:tc>
          <w:tcPr>
            <w:tcW w:w="1395" w:type="dxa"/>
            <w:vAlign w:val="center"/>
          </w:tcPr>
          <w:p w:rsidR="00A0086C" w:rsidRDefault="00F23D76">
            <w:pPr>
              <w:jc w:val="left"/>
            </w:pPr>
            <w:r>
              <w:rPr>
                <w:rFonts w:ascii="宋体"/>
                <w:color w:val="000000"/>
                <w:kern w:val="0"/>
                <w:sz w:val="24"/>
                <w:szCs w:val="24"/>
              </w:rPr>
              <w:t>过去三个月</w:t>
            </w:r>
          </w:p>
        </w:tc>
        <w:tc>
          <w:tcPr>
            <w:tcW w:w="1092" w:type="dxa"/>
            <w:vAlign w:val="center"/>
          </w:tcPr>
          <w:p w:rsidR="00A0086C" w:rsidRDefault="00F23D76">
            <w:pPr>
              <w:jc w:val="center"/>
            </w:pPr>
            <w:r>
              <w:rPr>
                <w:rFonts w:ascii="宋体"/>
                <w:color w:val="000000"/>
                <w:kern w:val="0"/>
                <w:sz w:val="24"/>
                <w:szCs w:val="24"/>
              </w:rPr>
              <w:t>10.24%</w:t>
            </w:r>
          </w:p>
        </w:tc>
        <w:tc>
          <w:tcPr>
            <w:tcW w:w="1161" w:type="dxa"/>
            <w:vAlign w:val="center"/>
          </w:tcPr>
          <w:p w:rsidR="00A0086C" w:rsidRDefault="00F23D76">
            <w:pPr>
              <w:jc w:val="center"/>
            </w:pPr>
            <w:r>
              <w:rPr>
                <w:rFonts w:ascii="宋体"/>
                <w:color w:val="000000"/>
                <w:kern w:val="0"/>
                <w:sz w:val="24"/>
                <w:szCs w:val="24"/>
              </w:rPr>
              <w:t>1.02%</w:t>
            </w:r>
          </w:p>
        </w:tc>
        <w:tc>
          <w:tcPr>
            <w:tcW w:w="1181" w:type="dxa"/>
            <w:vAlign w:val="center"/>
          </w:tcPr>
          <w:p w:rsidR="00A0086C" w:rsidRDefault="00F23D76">
            <w:pPr>
              <w:jc w:val="center"/>
            </w:pPr>
            <w:r>
              <w:rPr>
                <w:rFonts w:ascii="宋体"/>
                <w:color w:val="000000"/>
                <w:kern w:val="0"/>
                <w:sz w:val="24"/>
                <w:szCs w:val="24"/>
              </w:rPr>
              <w:t>10.72%</w:t>
            </w:r>
          </w:p>
        </w:tc>
        <w:tc>
          <w:tcPr>
            <w:tcW w:w="1188" w:type="dxa"/>
            <w:vAlign w:val="center"/>
          </w:tcPr>
          <w:p w:rsidR="00A0086C" w:rsidRDefault="00F23D76">
            <w:pPr>
              <w:jc w:val="center"/>
            </w:pPr>
            <w:r>
              <w:rPr>
                <w:rFonts w:ascii="宋体"/>
                <w:color w:val="000000"/>
                <w:kern w:val="0"/>
                <w:sz w:val="24"/>
                <w:szCs w:val="24"/>
              </w:rPr>
              <w:t>0.72%</w:t>
            </w:r>
          </w:p>
        </w:tc>
        <w:tc>
          <w:tcPr>
            <w:tcW w:w="1199" w:type="dxa"/>
            <w:vAlign w:val="center"/>
          </w:tcPr>
          <w:p w:rsidR="00A0086C" w:rsidRDefault="00F23D76">
            <w:pPr>
              <w:jc w:val="center"/>
            </w:pPr>
            <w:r>
              <w:rPr>
                <w:rFonts w:ascii="宋体"/>
                <w:color w:val="000000"/>
                <w:kern w:val="0"/>
                <w:sz w:val="24"/>
                <w:szCs w:val="24"/>
              </w:rPr>
              <w:t>-0.48%</w:t>
            </w:r>
          </w:p>
        </w:tc>
        <w:tc>
          <w:tcPr>
            <w:tcW w:w="1204" w:type="dxa"/>
            <w:vAlign w:val="center"/>
          </w:tcPr>
          <w:p w:rsidR="00A0086C" w:rsidRDefault="00F23D76">
            <w:pPr>
              <w:jc w:val="center"/>
            </w:pPr>
            <w:r>
              <w:rPr>
                <w:rFonts w:ascii="宋体"/>
                <w:color w:val="000000"/>
                <w:kern w:val="0"/>
                <w:sz w:val="24"/>
                <w:szCs w:val="24"/>
              </w:rPr>
              <w:t>0.30%</w:t>
            </w:r>
          </w:p>
        </w:tc>
      </w:tr>
    </w:tbl>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smartTag>
      <w:r w:rsidRPr="00264E55">
        <w:rPr>
          <w:rFonts w:ascii="宋体" w:hAnsi="宋体" w:hint="eastAsia"/>
          <w:b/>
          <w:bCs/>
          <w:color w:val="000000"/>
          <w:kern w:val="0"/>
          <w:sz w:val="24"/>
          <w:szCs w:val="24"/>
        </w:rPr>
        <w:t>自基金合同生效以来基金累计净值增长率变动及其与同期业绩比较基准收益率变动的比较</w:t>
      </w:r>
    </w:p>
    <w:p w:rsidR="00750D48" w:rsidRPr="00264E55" w:rsidRDefault="00750D48" w:rsidP="009E7C6A">
      <w:pPr>
        <w:spacing w:line="360" w:lineRule="auto"/>
        <w:jc w:val="center"/>
        <w:rPr>
          <w:rFonts w:ascii="宋体" w:hAnsi="宋体"/>
          <w:color w:val="000000"/>
          <w:sz w:val="24"/>
          <w:szCs w:val="24"/>
        </w:rPr>
      </w:pPr>
      <w:r w:rsidRPr="00264E55">
        <w:rPr>
          <w:rFonts w:ascii="宋体" w:hAnsi="宋体"/>
          <w:color w:val="000000"/>
          <w:sz w:val="24"/>
          <w:szCs w:val="24"/>
        </w:rPr>
        <w:t>国泰金牛创新成长股票型证券投资基金</w:t>
      </w:r>
    </w:p>
    <w:p w:rsidR="00750D48" w:rsidRPr="00264E55" w:rsidRDefault="00750D48" w:rsidP="009E7C6A">
      <w:pPr>
        <w:pStyle w:val="a5"/>
        <w:snapToGrid w:val="0"/>
        <w:spacing w:line="360" w:lineRule="auto"/>
        <w:jc w:val="center"/>
        <w:rPr>
          <w:rFonts w:hAnsi="宋体"/>
          <w:color w:val="000000"/>
          <w:sz w:val="24"/>
          <w:szCs w:val="24"/>
        </w:rPr>
      </w:pPr>
      <w:r w:rsidRPr="00264E55">
        <w:rPr>
          <w:rFonts w:hAnsi="宋体" w:hint="eastAsia"/>
          <w:color w:val="000000"/>
          <w:sz w:val="24"/>
          <w:szCs w:val="24"/>
        </w:rPr>
        <w:t>累计净值增长率与业绩比较基准收益率</w:t>
      </w:r>
      <w:r>
        <w:rPr>
          <w:rFonts w:hAnsi="宋体" w:hint="eastAsia"/>
          <w:color w:val="000000"/>
          <w:sz w:val="24"/>
          <w:szCs w:val="24"/>
        </w:rPr>
        <w:t>的</w:t>
      </w:r>
      <w:r w:rsidRPr="00264E55">
        <w:rPr>
          <w:rFonts w:hAnsi="宋体" w:hint="eastAsia"/>
          <w:color w:val="000000"/>
          <w:sz w:val="24"/>
          <w:szCs w:val="24"/>
        </w:rPr>
        <w:t>历史走势对比图</w:t>
      </w:r>
    </w:p>
    <w:p w:rsidR="00750D48" w:rsidRPr="00264E55" w:rsidRDefault="005F7917" w:rsidP="009E7C6A">
      <w:pPr>
        <w:pStyle w:val="a5"/>
        <w:snapToGrid w:val="0"/>
        <w:spacing w:line="360" w:lineRule="auto"/>
        <w:ind w:firstLine="480"/>
        <w:jc w:val="center"/>
        <w:rPr>
          <w:rFonts w:hAnsi="宋体"/>
          <w:sz w:val="24"/>
          <w:szCs w:val="24"/>
        </w:rPr>
      </w:pPr>
      <w:r>
        <w:rPr>
          <w:rFonts w:hAnsi="宋体" w:hint="eastAsia"/>
          <w:sz w:val="24"/>
          <w:szCs w:val="24"/>
        </w:rPr>
        <w:t>（</w:t>
      </w:r>
      <w:r w:rsidRPr="00264E55">
        <w:rPr>
          <w:rFonts w:hAnsi="宋体"/>
          <w:sz w:val="24"/>
          <w:szCs w:val="24"/>
        </w:rPr>
        <w:t>2007年5月18日</w:t>
      </w:r>
      <w:r w:rsidRPr="00264E55">
        <w:rPr>
          <w:rFonts w:hAnsi="宋体" w:hint="eastAsia"/>
          <w:sz w:val="24"/>
          <w:szCs w:val="24"/>
        </w:rPr>
        <w:t>至</w:t>
      </w:r>
      <w:r w:rsidRPr="00264E55">
        <w:rPr>
          <w:rFonts w:hAnsi="宋体"/>
          <w:sz w:val="24"/>
          <w:szCs w:val="24"/>
        </w:rPr>
        <w:t>2014年9月30日</w:t>
      </w:r>
      <w:r>
        <w:rPr>
          <w:rFonts w:hAnsi="宋体" w:hint="eastAsia"/>
          <w:sz w:val="24"/>
          <w:szCs w:val="24"/>
        </w:rPr>
        <w:t>）</w:t>
      </w:r>
    </w:p>
    <w:p w:rsidR="00750D48" w:rsidRPr="00264E55" w:rsidRDefault="0069494E" w:rsidP="004061AC">
      <w:pPr>
        <w:pStyle w:val="a5"/>
        <w:snapToGrid w:val="0"/>
        <w:spacing w:before="120" w:line="360" w:lineRule="auto"/>
        <w:jc w:val="center"/>
        <w:rPr>
          <w:rFonts w:hAnsi="宋体"/>
          <w:color w:val="000000"/>
          <w:sz w:val="24"/>
          <w:szCs w:val="24"/>
        </w:rPr>
      </w:pPr>
      <w:r w:rsidRPr="008801A9">
        <w:rPr>
          <w:rFonts w:hAnsi="宋体"/>
          <w:noProof/>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64E55" w:rsidRDefault="00750D48" w:rsidP="00C5642F">
      <w:pPr>
        <w:autoSpaceDE w:val="0"/>
        <w:autoSpaceDN w:val="0"/>
        <w:adjustRightInd w:val="0"/>
        <w:spacing w:line="360" w:lineRule="auto"/>
        <w:jc w:val="left"/>
        <w:rPr>
          <w:rFonts w:ascii="宋体" w:hAnsi="宋体"/>
          <w:color w:val="000000"/>
          <w:sz w:val="24"/>
          <w:szCs w:val="24"/>
        </w:rPr>
      </w:pPr>
      <w:r w:rsidRPr="00264E55">
        <w:rPr>
          <w:rFonts w:ascii="宋体" w:hAnsi="宋体"/>
          <w:color w:val="000000"/>
          <w:sz w:val="24"/>
          <w:szCs w:val="24"/>
        </w:rPr>
        <w:t>注：本基金的合同生效日为2007年5月18日。本基金在六个月建仓期结束时，各项资产配置比例符合合同约定。</w:t>
      </w:r>
    </w:p>
    <w:p w:rsidR="00750D48" w:rsidRPr="00264E55" w:rsidRDefault="00750D48" w:rsidP="004061AC">
      <w:pPr>
        <w:tabs>
          <w:tab w:val="left" w:pos="1800"/>
        </w:tabs>
        <w:spacing w:line="360" w:lineRule="auto"/>
        <w:rPr>
          <w:rFonts w:ascii="宋体"/>
          <w:color w:val="000000"/>
          <w:sz w:val="24"/>
          <w:szCs w:val="24"/>
        </w:rPr>
      </w:pPr>
    </w:p>
    <w:p w:rsidR="00750D48" w:rsidRPr="00264E55" w:rsidRDefault="00750D48" w:rsidP="0069494E">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694"/>
      </w:tblGrid>
      <w:tr w:rsidR="00750D48" w:rsidRPr="00264E55" w:rsidTr="00B32AA7">
        <w:trPr>
          <w:cantSplit/>
          <w:trHeight w:val="292"/>
        </w:trPr>
        <w:tc>
          <w:tcPr>
            <w:tcW w:w="851" w:type="dxa"/>
            <w:vMerge w:val="restart"/>
            <w:vAlign w:val="center"/>
          </w:tcPr>
          <w:p w:rsidR="00750D48" w:rsidRPr="00264E55" w:rsidRDefault="00750D48" w:rsidP="008014F9">
            <w:pPr>
              <w:widowControl/>
              <w:spacing w:before="29" w:line="360" w:lineRule="auto"/>
              <w:ind w:left="17"/>
              <w:jc w:val="center"/>
              <w:rPr>
                <w:rFonts w:ascii="宋体"/>
                <w:color w:val="000000"/>
                <w:kern w:val="0"/>
                <w:sz w:val="24"/>
                <w:szCs w:val="24"/>
              </w:rPr>
            </w:pPr>
            <w:r w:rsidRPr="00264E55">
              <w:rPr>
                <w:rFonts w:ascii="宋体" w:hAnsi="宋体" w:cs="宋体" w:hint="eastAsia"/>
                <w:color w:val="000000"/>
                <w:kern w:val="0"/>
                <w:sz w:val="24"/>
                <w:szCs w:val="24"/>
              </w:rPr>
              <w:t>姓名</w:t>
            </w:r>
          </w:p>
        </w:tc>
        <w:tc>
          <w:tcPr>
            <w:tcW w:w="850" w:type="dxa"/>
            <w:vMerge w:val="restart"/>
            <w:vAlign w:val="center"/>
          </w:tcPr>
          <w:p w:rsidR="00750D48" w:rsidRPr="00264E55" w:rsidRDefault="00750D48" w:rsidP="008014F9">
            <w:pPr>
              <w:widowControl/>
              <w:spacing w:before="29" w:line="360" w:lineRule="auto"/>
              <w:ind w:left="17"/>
              <w:jc w:val="center"/>
              <w:rPr>
                <w:rFonts w:ascii="宋体"/>
                <w:color w:val="000000"/>
                <w:kern w:val="0"/>
                <w:sz w:val="24"/>
                <w:szCs w:val="24"/>
              </w:rPr>
            </w:pPr>
            <w:r w:rsidRPr="00264E55">
              <w:rPr>
                <w:rFonts w:ascii="宋体" w:hAnsi="宋体" w:cs="宋体" w:hint="eastAsia"/>
                <w:color w:val="000000"/>
                <w:kern w:val="0"/>
                <w:sz w:val="24"/>
                <w:szCs w:val="24"/>
              </w:rPr>
              <w:t>职务</w:t>
            </w:r>
          </w:p>
        </w:tc>
        <w:tc>
          <w:tcPr>
            <w:tcW w:w="3119" w:type="dxa"/>
            <w:gridSpan w:val="2"/>
            <w:vAlign w:val="center"/>
          </w:tcPr>
          <w:p w:rsidR="00750D48" w:rsidRPr="00264E55" w:rsidRDefault="00750D48" w:rsidP="008014F9">
            <w:pPr>
              <w:autoSpaceDE w:val="0"/>
              <w:autoSpaceDN w:val="0"/>
              <w:adjustRightInd w:val="0"/>
              <w:spacing w:before="29" w:line="360" w:lineRule="auto"/>
              <w:ind w:left="17"/>
              <w:jc w:val="center"/>
              <w:rPr>
                <w:rFonts w:ascii="宋体"/>
                <w:color w:val="000000"/>
                <w:kern w:val="0"/>
                <w:sz w:val="24"/>
                <w:szCs w:val="24"/>
              </w:rPr>
            </w:pPr>
            <w:r w:rsidRPr="00264E55">
              <w:rPr>
                <w:rFonts w:ascii="宋体" w:hAnsi="宋体" w:cs="宋体" w:hint="eastAsia"/>
                <w:color w:val="000000"/>
                <w:kern w:val="0"/>
                <w:sz w:val="24"/>
                <w:szCs w:val="24"/>
              </w:rPr>
              <w:t>任本基金的基金经理期限</w:t>
            </w:r>
          </w:p>
        </w:tc>
        <w:tc>
          <w:tcPr>
            <w:tcW w:w="1417" w:type="dxa"/>
            <w:vMerge w:val="restart"/>
            <w:vAlign w:val="center"/>
          </w:tcPr>
          <w:p w:rsidR="00750D48" w:rsidRPr="00264E55" w:rsidRDefault="00750D48" w:rsidP="008014F9">
            <w:pPr>
              <w:autoSpaceDE w:val="0"/>
              <w:autoSpaceDN w:val="0"/>
              <w:adjustRightInd w:val="0"/>
              <w:spacing w:before="29" w:line="360" w:lineRule="auto"/>
              <w:ind w:left="17"/>
              <w:jc w:val="center"/>
              <w:rPr>
                <w:rFonts w:ascii="宋体"/>
                <w:color w:val="000000"/>
                <w:kern w:val="0"/>
                <w:sz w:val="24"/>
                <w:szCs w:val="24"/>
              </w:rPr>
            </w:pPr>
            <w:r w:rsidRPr="00264E55">
              <w:rPr>
                <w:rFonts w:ascii="宋体" w:hAnsi="宋体" w:cs="宋体" w:hint="eastAsia"/>
                <w:color w:val="000000"/>
                <w:kern w:val="0"/>
                <w:sz w:val="24"/>
                <w:szCs w:val="24"/>
              </w:rPr>
              <w:t>证券从业年限</w:t>
            </w:r>
          </w:p>
        </w:tc>
        <w:tc>
          <w:tcPr>
            <w:tcW w:w="2694" w:type="dxa"/>
            <w:vMerge w:val="restart"/>
            <w:vAlign w:val="center"/>
          </w:tcPr>
          <w:p w:rsidR="00750D48" w:rsidRPr="00264E55" w:rsidRDefault="00750D48" w:rsidP="008014F9">
            <w:pPr>
              <w:widowControl/>
              <w:spacing w:before="29" w:line="360" w:lineRule="auto"/>
              <w:ind w:left="17"/>
              <w:jc w:val="center"/>
              <w:rPr>
                <w:rFonts w:ascii="宋体"/>
                <w:color w:val="000000"/>
                <w:kern w:val="0"/>
                <w:sz w:val="24"/>
                <w:szCs w:val="24"/>
              </w:rPr>
            </w:pPr>
            <w:r w:rsidRPr="00264E55">
              <w:rPr>
                <w:rFonts w:ascii="宋体" w:hAnsi="宋体" w:cs="宋体" w:hint="eastAsia"/>
                <w:color w:val="000000"/>
                <w:kern w:val="0"/>
                <w:sz w:val="24"/>
                <w:szCs w:val="24"/>
              </w:rPr>
              <w:t>说明</w:t>
            </w:r>
          </w:p>
        </w:tc>
      </w:tr>
      <w:tr w:rsidR="00750D48" w:rsidRPr="00264E55" w:rsidTr="00B32AA7">
        <w:trPr>
          <w:cantSplit/>
        </w:trPr>
        <w:tc>
          <w:tcPr>
            <w:tcW w:w="851" w:type="dxa"/>
            <w:vMerge/>
            <w:vAlign w:val="center"/>
          </w:tcPr>
          <w:p w:rsidR="00750D48" w:rsidRPr="00264E55" w:rsidRDefault="00750D48" w:rsidP="008014F9">
            <w:pPr>
              <w:widowControl/>
              <w:spacing w:line="360" w:lineRule="auto"/>
              <w:jc w:val="left"/>
              <w:rPr>
                <w:rFonts w:ascii="宋体"/>
                <w:color w:val="000000"/>
                <w:kern w:val="0"/>
                <w:sz w:val="24"/>
                <w:szCs w:val="24"/>
              </w:rPr>
            </w:pPr>
          </w:p>
        </w:tc>
        <w:tc>
          <w:tcPr>
            <w:tcW w:w="850" w:type="dxa"/>
            <w:vMerge/>
            <w:vAlign w:val="center"/>
          </w:tcPr>
          <w:p w:rsidR="00750D48" w:rsidRPr="00264E55" w:rsidRDefault="00750D48" w:rsidP="008014F9">
            <w:pPr>
              <w:widowControl/>
              <w:spacing w:line="360" w:lineRule="auto"/>
              <w:jc w:val="left"/>
              <w:rPr>
                <w:rFonts w:ascii="宋体"/>
                <w:color w:val="000000"/>
                <w:kern w:val="0"/>
                <w:sz w:val="24"/>
                <w:szCs w:val="24"/>
              </w:rPr>
            </w:pPr>
          </w:p>
        </w:tc>
        <w:tc>
          <w:tcPr>
            <w:tcW w:w="1560" w:type="dxa"/>
            <w:vAlign w:val="center"/>
          </w:tcPr>
          <w:p w:rsidR="00750D48" w:rsidRPr="00264E55" w:rsidRDefault="00750D48" w:rsidP="008014F9">
            <w:pPr>
              <w:autoSpaceDE w:val="0"/>
              <w:autoSpaceDN w:val="0"/>
              <w:adjustRightInd w:val="0"/>
              <w:spacing w:before="29" w:line="360" w:lineRule="auto"/>
              <w:ind w:left="17"/>
              <w:jc w:val="center"/>
              <w:rPr>
                <w:rFonts w:ascii="宋体" w:cs="宋体"/>
                <w:color w:val="000000"/>
                <w:kern w:val="0"/>
                <w:sz w:val="24"/>
                <w:szCs w:val="24"/>
              </w:rPr>
            </w:pPr>
            <w:r w:rsidRPr="00264E55">
              <w:rPr>
                <w:rFonts w:ascii="宋体" w:hAnsi="宋体" w:cs="宋体" w:hint="eastAsia"/>
                <w:color w:val="000000"/>
                <w:kern w:val="0"/>
                <w:sz w:val="24"/>
                <w:szCs w:val="24"/>
              </w:rPr>
              <w:t>任职日期</w:t>
            </w:r>
          </w:p>
        </w:tc>
        <w:tc>
          <w:tcPr>
            <w:tcW w:w="1559" w:type="dxa"/>
            <w:vAlign w:val="center"/>
          </w:tcPr>
          <w:p w:rsidR="00750D48" w:rsidRPr="00264E55" w:rsidRDefault="00750D48" w:rsidP="008014F9">
            <w:pPr>
              <w:autoSpaceDE w:val="0"/>
              <w:autoSpaceDN w:val="0"/>
              <w:adjustRightInd w:val="0"/>
              <w:spacing w:before="29" w:line="360" w:lineRule="auto"/>
              <w:ind w:left="17"/>
              <w:jc w:val="center"/>
              <w:rPr>
                <w:rFonts w:ascii="宋体" w:cs="宋体"/>
                <w:color w:val="000000"/>
                <w:kern w:val="0"/>
                <w:sz w:val="24"/>
                <w:szCs w:val="24"/>
              </w:rPr>
            </w:pPr>
            <w:r w:rsidRPr="00264E55">
              <w:rPr>
                <w:rFonts w:ascii="宋体" w:hAnsi="宋体" w:cs="宋体" w:hint="eastAsia"/>
                <w:color w:val="000000"/>
                <w:kern w:val="0"/>
                <w:sz w:val="24"/>
                <w:szCs w:val="24"/>
              </w:rPr>
              <w:t>离任日期</w:t>
            </w:r>
          </w:p>
        </w:tc>
        <w:tc>
          <w:tcPr>
            <w:tcW w:w="1417" w:type="dxa"/>
            <w:vMerge/>
            <w:vAlign w:val="center"/>
          </w:tcPr>
          <w:p w:rsidR="00750D48" w:rsidRPr="00264E55" w:rsidRDefault="00750D48" w:rsidP="008014F9">
            <w:pPr>
              <w:widowControl/>
              <w:spacing w:line="360" w:lineRule="auto"/>
              <w:jc w:val="left"/>
              <w:rPr>
                <w:rFonts w:ascii="宋体"/>
                <w:color w:val="000000"/>
                <w:kern w:val="0"/>
                <w:sz w:val="24"/>
                <w:szCs w:val="24"/>
              </w:rPr>
            </w:pPr>
          </w:p>
        </w:tc>
        <w:tc>
          <w:tcPr>
            <w:tcW w:w="2694" w:type="dxa"/>
            <w:vMerge/>
            <w:vAlign w:val="center"/>
          </w:tcPr>
          <w:p w:rsidR="00750D48" w:rsidRPr="00264E55" w:rsidRDefault="00750D48" w:rsidP="008014F9">
            <w:pPr>
              <w:widowControl/>
              <w:spacing w:line="360" w:lineRule="auto"/>
              <w:jc w:val="left"/>
              <w:rPr>
                <w:rFonts w:ascii="宋体"/>
                <w:color w:val="000000"/>
                <w:kern w:val="0"/>
                <w:sz w:val="24"/>
                <w:szCs w:val="24"/>
              </w:rPr>
            </w:pPr>
          </w:p>
        </w:tc>
      </w:tr>
      <w:tr w:rsidR="00A0086C">
        <w:tc>
          <w:tcPr>
            <w:tcW w:w="851" w:type="dxa"/>
            <w:vAlign w:val="center"/>
          </w:tcPr>
          <w:p w:rsidR="00A0086C" w:rsidRDefault="00F23D76">
            <w:pPr>
              <w:jc w:val="center"/>
            </w:pPr>
            <w:r>
              <w:rPr>
                <w:rFonts w:ascii="宋体"/>
                <w:color w:val="000000"/>
                <w:sz w:val="24"/>
                <w:szCs w:val="24"/>
              </w:rPr>
              <w:t>范迪钊</w:t>
            </w:r>
          </w:p>
        </w:tc>
        <w:tc>
          <w:tcPr>
            <w:tcW w:w="850" w:type="dxa"/>
            <w:vAlign w:val="center"/>
          </w:tcPr>
          <w:p w:rsidR="00A0086C" w:rsidRDefault="00F23D76">
            <w:pPr>
              <w:jc w:val="center"/>
            </w:pPr>
            <w:r>
              <w:rPr>
                <w:rFonts w:ascii="宋体"/>
                <w:color w:val="000000"/>
                <w:sz w:val="24"/>
                <w:szCs w:val="24"/>
              </w:rPr>
              <w:t>本基金的基金经理、国泰结构转型灵活配置混合、国泰新经济灵活配置混</w:t>
            </w:r>
            <w:r>
              <w:rPr>
                <w:rFonts w:ascii="宋体"/>
                <w:color w:val="000000"/>
                <w:sz w:val="24"/>
                <w:szCs w:val="24"/>
              </w:rPr>
              <w:lastRenderedPageBreak/>
              <w:t>合的基金经理、权益投资总监</w:t>
            </w:r>
          </w:p>
        </w:tc>
        <w:tc>
          <w:tcPr>
            <w:tcW w:w="1560" w:type="dxa"/>
            <w:vAlign w:val="center"/>
          </w:tcPr>
          <w:p w:rsidR="00A0086C" w:rsidRDefault="00F23D76">
            <w:pPr>
              <w:jc w:val="center"/>
            </w:pPr>
            <w:r>
              <w:rPr>
                <w:rFonts w:ascii="宋体"/>
                <w:color w:val="000000"/>
                <w:sz w:val="24"/>
                <w:szCs w:val="24"/>
              </w:rPr>
              <w:lastRenderedPageBreak/>
              <w:t>2009-12-02</w:t>
            </w:r>
          </w:p>
        </w:tc>
        <w:tc>
          <w:tcPr>
            <w:tcW w:w="1559" w:type="dxa"/>
            <w:vAlign w:val="center"/>
          </w:tcPr>
          <w:p w:rsidR="00A0086C" w:rsidRDefault="00F23D76">
            <w:pPr>
              <w:jc w:val="center"/>
            </w:pPr>
            <w:r>
              <w:rPr>
                <w:rFonts w:ascii="宋体"/>
                <w:color w:val="000000"/>
                <w:sz w:val="24"/>
                <w:szCs w:val="24"/>
              </w:rPr>
              <w:t>-</w:t>
            </w:r>
          </w:p>
        </w:tc>
        <w:tc>
          <w:tcPr>
            <w:tcW w:w="1417" w:type="dxa"/>
            <w:vAlign w:val="center"/>
          </w:tcPr>
          <w:p w:rsidR="00A0086C" w:rsidRDefault="00F23D76">
            <w:pPr>
              <w:jc w:val="center"/>
            </w:pPr>
            <w:r>
              <w:rPr>
                <w:rFonts w:ascii="宋体"/>
                <w:color w:val="000000"/>
                <w:sz w:val="24"/>
                <w:szCs w:val="24"/>
              </w:rPr>
              <w:t>14</w:t>
            </w:r>
          </w:p>
        </w:tc>
        <w:tc>
          <w:tcPr>
            <w:tcW w:w="2694" w:type="dxa"/>
            <w:vAlign w:val="center"/>
          </w:tcPr>
          <w:p w:rsidR="00A0086C" w:rsidRDefault="00F23D76">
            <w:r>
              <w:rPr>
                <w:rFonts w:ascii="宋体"/>
                <w:color w:val="000000"/>
                <w:sz w:val="24"/>
                <w:szCs w:val="24"/>
              </w:rPr>
              <w:t>学士。曾任职于上海银行、香港百德能控股公司上海代表处、华一银行、法国巴黎百富勤有限公司上海代表处，2005年3月加盟国泰基金管理有限公司，历任行业研究员、高级行业研究员、社保基金经理助理，2009年5月至2009年9月任国泰金鹏蓝筹混合和国泰金鑫封闭的基金经理助理。2009年9月至2012年2月任国泰双利债券证券</w:t>
            </w:r>
            <w:r>
              <w:rPr>
                <w:rFonts w:ascii="宋体"/>
                <w:color w:val="000000"/>
                <w:sz w:val="24"/>
                <w:szCs w:val="24"/>
              </w:rPr>
              <w:lastRenderedPageBreak/>
              <w:t>投资基金的基金经理；2010年6月至2011年6月任国泰金鹿保本增值混合证券投资基金的基金经理；2009年12月起兼任国泰金牛创新成长股票型证券投资基金的基金经理,2014年5月起兼任国泰结构转型灵活配置混合型证券投资基金的基金经理，2014年9月起兼任国泰新经济灵活配置混合型证券投资基金的基金经理。2013年9月至2014年3月任投资副总监，2014年3月起任权益投资总监。</w:t>
            </w:r>
          </w:p>
        </w:tc>
      </w:tr>
    </w:tbl>
    <w:p w:rsidR="00A0086C" w:rsidRDefault="00F23D76">
      <w:pPr>
        <w:autoSpaceDE w:val="0"/>
        <w:autoSpaceDN w:val="0"/>
        <w:adjustRightInd w:val="0"/>
        <w:spacing w:line="360" w:lineRule="auto"/>
        <w:jc w:val="left"/>
        <w:rPr>
          <w:rFonts w:ascii="宋体" w:hAnsi="宋体"/>
          <w:color w:val="000000"/>
          <w:sz w:val="24"/>
          <w:szCs w:val="24"/>
        </w:rPr>
      </w:pPr>
      <w:r>
        <w:rPr>
          <w:rFonts w:ascii="宋体" w:hAnsi="宋体"/>
          <w:color w:val="000000"/>
          <w:sz w:val="24"/>
          <w:szCs w:val="24"/>
        </w:rPr>
        <w:lastRenderedPageBreak/>
        <w:t>注：1、此处的任职日期和离任日期均指公司决定生效之日，首任基金经理，任职日期为基金合同生效日。</w:t>
      </w:r>
    </w:p>
    <w:p w:rsidR="00750D48" w:rsidRPr="00264E55" w:rsidRDefault="00750D48" w:rsidP="00C5642F">
      <w:pPr>
        <w:autoSpaceDE w:val="0"/>
        <w:autoSpaceDN w:val="0"/>
        <w:adjustRightInd w:val="0"/>
        <w:spacing w:line="360" w:lineRule="auto"/>
        <w:jc w:val="left"/>
        <w:rPr>
          <w:rFonts w:ascii="宋体" w:hAnsi="宋体"/>
          <w:color w:val="000000"/>
          <w:sz w:val="24"/>
          <w:szCs w:val="24"/>
        </w:rPr>
      </w:pPr>
      <w:r w:rsidRPr="00264E55">
        <w:rPr>
          <w:rFonts w:ascii="宋体" w:hAnsi="宋体"/>
          <w:color w:val="000000"/>
          <w:sz w:val="24"/>
          <w:szCs w:val="24"/>
        </w:rPr>
        <w:t>2、证券从业的含义遵从行业协会《证券业从业人员资格管理办法》的相关规定。</w:t>
      </w: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64E55"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t>本报告期内，本基金管理人严格遵守《证券法》、《证券投资基金法》、《基金管理公司公平交易制度指导意见》等有关法律法规的规定，严格遵守基金合同和招募说明书约定，本着诚实信用、勤勉尽责、最大限度保护投资人合法权益等原则管理和运用基金资产，在控制风险的基础上为持有人谋求最大利益。本报告期内，本基金运作合法合规，未发生损害基金份额持有人利益的行为，未发生内幕交易、操纵市场和不当关联交易及其他违规行为，信息披露及时、准确、完整，本基金与本基金管理人所管理的其他基金资产、投资组合与公司资产之间严格分开、公平对待，基金管理小组保持独立运作，并通过科学决策、规范运作、精心管理和健全内控体系，有效保障投资人的合法权益。</w:t>
      </w:r>
    </w:p>
    <w:p w:rsidR="00750D48" w:rsidRPr="00264E55" w:rsidRDefault="00750D48" w:rsidP="009E7C6A">
      <w:pPr>
        <w:autoSpaceDE w:val="0"/>
        <w:autoSpaceDN w:val="0"/>
        <w:adjustRightInd w:val="0"/>
        <w:spacing w:line="360" w:lineRule="auto"/>
        <w:jc w:val="left"/>
        <w:rPr>
          <w:rFonts w:ascii="宋体"/>
          <w:color w:val="000000"/>
          <w:kern w:val="0"/>
          <w:sz w:val="24"/>
          <w:szCs w:val="24"/>
        </w:rPr>
      </w:pP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color w:val="000000"/>
          <w:sz w:val="24"/>
          <w:szCs w:val="24"/>
        </w:rPr>
        <w:t xml:space="preserve"> </w:t>
      </w:r>
      <w:r w:rsidRPr="00264E55">
        <w:rPr>
          <w:rFonts w:ascii="宋体" w:hAnsi="宋体" w:hint="eastAsia"/>
          <w:color w:val="000000"/>
          <w:sz w:val="24"/>
          <w:szCs w:val="24"/>
        </w:rPr>
        <w:t>公平交易制度的执行情况</w:t>
      </w:r>
    </w:p>
    <w:p w:rsidR="00750D48" w:rsidRPr="00264E55"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lastRenderedPageBreak/>
        <w:t>本报告期内，本基金管理人严格遵守《证券投资基金管理公司公平交易制度指导意见》的相关规定，通过严格的内部风险控制制度和流程，对各环节的投资风险和管理风险进行有效控制，严格控制不同投资组合之间的同日反向交易，严格禁止可能导致不公平交易和利益输送的同日反向交易，确保公平对待所管理的所有基金和投资组合，切实防范利益输送行为。</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color w:val="000000"/>
          <w:sz w:val="24"/>
          <w:szCs w:val="24"/>
        </w:rPr>
        <w:t xml:space="preserve"> </w:t>
      </w:r>
      <w:r w:rsidRPr="00264E55">
        <w:rPr>
          <w:rFonts w:ascii="宋体" w:hAnsi="宋体" w:hint="eastAsia"/>
          <w:color w:val="000000"/>
          <w:sz w:val="24"/>
          <w:szCs w:val="24"/>
        </w:rPr>
        <w:t>异常交易行为的专项说明</w:t>
      </w:r>
    </w:p>
    <w:p w:rsidR="00750D48" w:rsidRPr="00264E55"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t>本报告期内，本基金与基金管理人旗下国泰沪深300指数证券投资基金发生一次同日反向交易且成交较少的单边交易量超过该证券当日成交量5%的情况，国泰沪深300指数证券投资基金为以完全复制为目标的指数基金，本报告期内未发现本基金有可能导致不公平交易和利益输送的异常交易。</w:t>
      </w:r>
    </w:p>
    <w:p w:rsidR="00750D48" w:rsidRPr="00264E55" w:rsidRDefault="00750D48" w:rsidP="00EB572F">
      <w:pPr>
        <w:spacing w:line="360" w:lineRule="auto"/>
        <w:ind w:firstLineChars="200" w:firstLine="480"/>
        <w:rPr>
          <w:rFonts w:ascii="宋体" w:hAnsi="宋体"/>
          <w:color w:val="000000"/>
          <w:sz w:val="24"/>
          <w:szCs w:val="24"/>
        </w:rPr>
      </w:pP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A股市场在3季度触底反弹,涨幅是11年以来最大的,沪深300指数上涨了13.20%至2,450.99。这一轮的底部反弹与过去几次有所不同，除了大盘指数上涨较多以外，并未出现以往的风格切换的现象，创业板指数在高位继续上涨了9.69%，其中有些小盘股的涨幅相当惊人。分行业来看，国防军工、钢铁有色等高弹性品种涨幅居前，而银行、传媒、家电等行业涨幅靠后。</w:t>
      </w:r>
    </w:p>
    <w:p w:rsidR="00750D48" w:rsidRPr="00264E55"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t>本基金季度内延续了以往的配置特点，绝大部分市值集中在白马成长股上，因此整体业绩表现不甚理想，落后于同业平均水平。</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t>本基金在2014年第三季度的净值增长率为10.24%，同期业绩比较基准收益率为10.72%。</w:t>
      </w:r>
    </w:p>
    <w:p w:rsidR="0081561C" w:rsidRPr="00264E55" w:rsidRDefault="0081561C" w:rsidP="00EB572F">
      <w:pPr>
        <w:spacing w:line="360" w:lineRule="auto"/>
        <w:ind w:firstLineChars="200" w:firstLine="480"/>
        <w:rPr>
          <w:rFonts w:ascii="宋体"/>
          <w:color w:val="000000"/>
          <w:sz w:val="24"/>
          <w:szCs w:val="24"/>
        </w:rPr>
      </w:pPr>
    </w:p>
    <w:p w:rsidR="00750D48" w:rsidRPr="00B426E0" w:rsidRDefault="00750D48" w:rsidP="00B426E0">
      <w:pPr>
        <w:autoSpaceDE w:val="0"/>
        <w:autoSpaceDN w:val="0"/>
        <w:adjustRightInd w:val="0"/>
        <w:spacing w:line="360" w:lineRule="auto"/>
        <w:jc w:val="left"/>
        <w:rPr>
          <w:rFonts w:ascii="宋体" w:hAnsi="宋体"/>
          <w:b/>
          <w:bCs/>
          <w:color w:val="000000"/>
          <w:kern w:val="0"/>
          <w:sz w:val="24"/>
          <w:szCs w:val="24"/>
        </w:rPr>
      </w:pPr>
      <w:bookmarkStart w:id="1" w:name="_Toc245193825"/>
      <w:bookmarkStart w:id="2" w:name="_Toc255486598"/>
      <w:r w:rsidRPr="00B426E0">
        <w:rPr>
          <w:rFonts w:ascii="宋体" w:hAnsi="宋体"/>
          <w:b/>
          <w:bCs/>
          <w:color w:val="000000"/>
          <w:kern w:val="0"/>
          <w:sz w:val="24"/>
          <w:szCs w:val="24"/>
        </w:rPr>
        <w:t>4.</w:t>
      </w:r>
      <w:r w:rsidR="00B426E0" w:rsidRPr="00B426E0">
        <w:rPr>
          <w:rFonts w:ascii="宋体" w:hAnsi="宋体" w:hint="eastAsia"/>
          <w:b/>
          <w:bCs/>
          <w:color w:val="000000"/>
          <w:kern w:val="0"/>
          <w:sz w:val="24"/>
          <w:szCs w:val="24"/>
        </w:rPr>
        <w:t>5</w:t>
      </w:r>
      <w:r w:rsidRPr="00B426E0">
        <w:rPr>
          <w:rFonts w:ascii="宋体" w:hAnsi="宋体"/>
          <w:b/>
          <w:bCs/>
          <w:color w:val="000000"/>
          <w:kern w:val="0"/>
          <w:sz w:val="24"/>
          <w:szCs w:val="24"/>
        </w:rPr>
        <w:t xml:space="preserve"> </w:t>
      </w:r>
      <w:r w:rsidRPr="00B426E0">
        <w:rPr>
          <w:rFonts w:ascii="宋体" w:hAnsi="宋体" w:hint="eastAsia"/>
          <w:b/>
          <w:bCs/>
          <w:color w:val="000000"/>
          <w:kern w:val="0"/>
          <w:sz w:val="24"/>
          <w:szCs w:val="24"/>
        </w:rPr>
        <w:t>管理人对宏观经济、证券市场及行业走势的简要展望</w:t>
      </w:r>
      <w:bookmarkEnd w:id="1"/>
      <w:bookmarkEnd w:id="2"/>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今年股市的运行逻辑与往年有了很大的不同，在三季度经济下滑超预期的情况下，股指表现相当强劲，尤其是主题投资，像打不死的小强一样，屡创新高。今年的市场还有一个特点，股价涨幅与市值成明显的负相关性，虽然就业绩增速而言中大市值明显高过小市值股票，但小股票的涨幅依然遥遥领先于市场。我们</w:t>
      </w:r>
      <w:r>
        <w:rPr>
          <w:rFonts w:ascii="宋体" w:hAnsi="宋体"/>
          <w:color w:val="000000"/>
          <w:sz w:val="24"/>
          <w:szCs w:val="24"/>
        </w:rPr>
        <w:lastRenderedPageBreak/>
        <w:t>事后当然可以找出各种各样的理由来解释这一现象，比如业务转型、并购重组、市值管理等，甚至直接简单粗暴的归因于无风险利率的下降。但我们始终认为，投资的本质还是要围绕着公司核心业务的增长，长期而言，唯有企业的价值创造才能带来投资收益。</w:t>
      </w:r>
    </w:p>
    <w:p w:rsidR="00750D48" w:rsidRPr="00264E55"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t>未来，我们会继续关注已经被历史验证的优秀企业的投资价值，尤其是其中有变化、有执行力的公司。随着互联网对各行各业的渗透，未来会有越来有多的所谓传统企业利用新技术、新模式带来的市场空间，结合自身在传统领域内的优势和壁垒，去创造出更大的价值，比如互联网家装、安防服务、移动医疗、数字营销等。同时，我们也看好国计民生相关的政策推动型行业，比如医药、环保、铁路装备等。</w:t>
      </w:r>
    </w:p>
    <w:p w:rsidR="00750D48" w:rsidRPr="00264E55" w:rsidRDefault="00750D48" w:rsidP="0069494E">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357"/>
        <w:gridCol w:w="2977"/>
        <w:gridCol w:w="1843"/>
      </w:tblGrid>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color w:val="000000"/>
                <w:kern w:val="0"/>
                <w:sz w:val="24"/>
                <w:szCs w:val="24"/>
              </w:rPr>
            </w:pPr>
            <w:r w:rsidRPr="00B05049">
              <w:rPr>
                <w:rFonts w:ascii="宋体" w:hAnsi="宋体" w:hint="eastAsia"/>
                <w:color w:val="000000"/>
                <w:kern w:val="0"/>
                <w:sz w:val="24"/>
                <w:szCs w:val="24"/>
              </w:rPr>
              <w:t>序号</w:t>
            </w:r>
          </w:p>
        </w:tc>
        <w:tc>
          <w:tcPr>
            <w:tcW w:w="3357" w:type="dxa"/>
            <w:vAlign w:val="center"/>
          </w:tcPr>
          <w:p w:rsidR="00750D48" w:rsidRPr="00B05049" w:rsidRDefault="00750D48" w:rsidP="00B05049">
            <w:pPr>
              <w:spacing w:before="29" w:line="360" w:lineRule="auto"/>
              <w:ind w:left="17"/>
              <w:jc w:val="center"/>
              <w:rPr>
                <w:rFonts w:ascii="宋体"/>
                <w:color w:val="000000"/>
                <w:kern w:val="0"/>
                <w:sz w:val="24"/>
                <w:szCs w:val="24"/>
              </w:rPr>
            </w:pPr>
            <w:r w:rsidRPr="00B05049">
              <w:rPr>
                <w:rFonts w:ascii="宋体" w:hAnsi="宋体" w:hint="eastAsia"/>
                <w:color w:val="000000"/>
                <w:kern w:val="0"/>
                <w:sz w:val="24"/>
                <w:szCs w:val="24"/>
              </w:rPr>
              <w:t>项目</w:t>
            </w:r>
          </w:p>
        </w:tc>
        <w:tc>
          <w:tcPr>
            <w:tcW w:w="2977" w:type="dxa"/>
            <w:vAlign w:val="center"/>
          </w:tcPr>
          <w:p w:rsidR="00750D48" w:rsidRPr="00B05049" w:rsidRDefault="00750D48" w:rsidP="005F7917">
            <w:pPr>
              <w:spacing w:before="29" w:line="360" w:lineRule="auto"/>
              <w:ind w:left="17"/>
              <w:jc w:val="center"/>
              <w:rPr>
                <w:rFonts w:ascii="宋体" w:hAnsi="宋体"/>
                <w:color w:val="000000"/>
                <w:kern w:val="0"/>
                <w:sz w:val="24"/>
                <w:szCs w:val="24"/>
              </w:rPr>
            </w:pPr>
            <w:r w:rsidRPr="00B05049">
              <w:rPr>
                <w:rFonts w:ascii="宋体" w:hAnsi="宋体" w:hint="eastAsia"/>
                <w:color w:val="000000"/>
                <w:kern w:val="0"/>
                <w:sz w:val="24"/>
                <w:szCs w:val="24"/>
              </w:rPr>
              <w:t>金额</w:t>
            </w:r>
            <w:r w:rsidR="005F7917">
              <w:rPr>
                <w:rFonts w:ascii="宋体" w:hAnsi="宋体" w:hint="eastAsia"/>
                <w:color w:val="000000"/>
                <w:kern w:val="0"/>
                <w:sz w:val="24"/>
                <w:szCs w:val="24"/>
              </w:rPr>
              <w:t>（</w:t>
            </w:r>
            <w:r w:rsidR="005F7917" w:rsidRPr="00B05049">
              <w:rPr>
                <w:rFonts w:ascii="宋体" w:hAnsi="宋体" w:hint="eastAsia"/>
                <w:color w:val="000000"/>
                <w:kern w:val="0"/>
                <w:sz w:val="24"/>
                <w:szCs w:val="24"/>
              </w:rPr>
              <w:t>元</w:t>
            </w:r>
            <w:r w:rsidR="005F7917">
              <w:rPr>
                <w:rFonts w:ascii="宋体" w:hAnsi="宋体" w:hint="eastAsia"/>
                <w:color w:val="000000"/>
                <w:kern w:val="0"/>
                <w:sz w:val="24"/>
                <w:szCs w:val="24"/>
              </w:rPr>
              <w:t>）</w:t>
            </w:r>
          </w:p>
        </w:tc>
        <w:tc>
          <w:tcPr>
            <w:tcW w:w="1843" w:type="dxa"/>
            <w:vAlign w:val="center"/>
          </w:tcPr>
          <w:p w:rsidR="00750D48" w:rsidRPr="00B05049" w:rsidRDefault="00750D48" w:rsidP="005F7917">
            <w:pPr>
              <w:spacing w:before="29" w:line="360" w:lineRule="auto"/>
              <w:ind w:left="17"/>
              <w:jc w:val="center"/>
              <w:rPr>
                <w:rFonts w:ascii="宋体" w:hAnsi="宋体"/>
                <w:color w:val="000000"/>
                <w:kern w:val="0"/>
                <w:sz w:val="24"/>
                <w:szCs w:val="24"/>
              </w:rPr>
            </w:pPr>
            <w:r w:rsidRPr="00B05049">
              <w:rPr>
                <w:rFonts w:ascii="宋体" w:hAnsi="宋体" w:hint="eastAsia"/>
                <w:color w:val="000000"/>
                <w:kern w:val="0"/>
                <w:sz w:val="24"/>
                <w:szCs w:val="24"/>
              </w:rPr>
              <w:t>占基金总资产的比例</w:t>
            </w:r>
            <w:r w:rsidR="005F7917">
              <w:rPr>
                <w:rFonts w:ascii="宋体" w:hAnsi="宋体" w:hint="eastAsia"/>
                <w:color w:val="000000"/>
                <w:kern w:val="0"/>
                <w:sz w:val="24"/>
                <w:szCs w:val="24"/>
              </w:rPr>
              <w:t>（</w:t>
            </w:r>
            <w:r w:rsidR="005F7917" w:rsidRPr="00B05049">
              <w:rPr>
                <w:rFonts w:ascii="宋体" w:hAnsi="宋体"/>
                <w:color w:val="000000"/>
                <w:kern w:val="0"/>
                <w:sz w:val="24"/>
                <w:szCs w:val="24"/>
              </w:rPr>
              <w:t>%</w:t>
            </w:r>
            <w:r w:rsidR="005F7917">
              <w:rPr>
                <w:rFonts w:ascii="宋体" w:hAnsi="宋体" w:hint="eastAsia"/>
                <w:color w:val="000000"/>
                <w:kern w:val="0"/>
                <w:sz w:val="24"/>
                <w:szCs w:val="24"/>
              </w:rPr>
              <w:t>）</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hAnsi="宋体"/>
                <w:color w:val="000000"/>
                <w:kern w:val="0"/>
                <w:sz w:val="24"/>
                <w:szCs w:val="24"/>
              </w:rPr>
            </w:pPr>
            <w:r w:rsidRPr="00B05049">
              <w:rPr>
                <w:rFonts w:ascii="宋体" w:hAnsi="宋体"/>
                <w:color w:val="000000"/>
                <w:kern w:val="0"/>
                <w:sz w:val="24"/>
                <w:szCs w:val="24"/>
              </w:rPr>
              <w:t>1</w:t>
            </w:r>
          </w:p>
        </w:tc>
        <w:tc>
          <w:tcPr>
            <w:tcW w:w="3357" w:type="dxa"/>
            <w:vAlign w:val="center"/>
          </w:tcPr>
          <w:p w:rsidR="00750D48" w:rsidRPr="00B05049" w:rsidRDefault="00750D48" w:rsidP="00B05049">
            <w:pPr>
              <w:spacing w:before="29" w:line="360" w:lineRule="auto"/>
              <w:ind w:left="17"/>
              <w:jc w:val="left"/>
              <w:rPr>
                <w:rFonts w:ascii="宋体"/>
                <w:kern w:val="0"/>
                <w:sz w:val="24"/>
                <w:szCs w:val="24"/>
              </w:rPr>
            </w:pPr>
            <w:r w:rsidRPr="00B05049">
              <w:rPr>
                <w:rFonts w:ascii="宋体" w:hAnsi="宋体" w:cs="宋体" w:hint="eastAsia"/>
                <w:color w:val="000000"/>
                <w:kern w:val="0"/>
                <w:sz w:val="24"/>
                <w:szCs w:val="24"/>
              </w:rPr>
              <w:t>权益投资</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4,647,429,449.16</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89.51</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color w:val="000000"/>
                <w:kern w:val="0"/>
                <w:sz w:val="24"/>
                <w:szCs w:val="24"/>
              </w:rPr>
            </w:pPr>
          </w:p>
        </w:tc>
        <w:tc>
          <w:tcPr>
            <w:tcW w:w="3357" w:type="dxa"/>
            <w:vAlign w:val="center"/>
          </w:tcPr>
          <w:p w:rsidR="00750D48" w:rsidRPr="00B05049" w:rsidRDefault="00750D48" w:rsidP="00B05049">
            <w:pPr>
              <w:spacing w:before="29" w:line="360" w:lineRule="auto"/>
              <w:ind w:left="17"/>
              <w:jc w:val="left"/>
              <w:rPr>
                <w:rFonts w:ascii="宋体"/>
                <w:kern w:val="0"/>
                <w:sz w:val="24"/>
                <w:szCs w:val="24"/>
              </w:rPr>
            </w:pPr>
            <w:r w:rsidRPr="00B05049">
              <w:rPr>
                <w:rFonts w:ascii="宋体" w:hAnsi="宋体" w:cs="宋体" w:hint="eastAsia"/>
                <w:color w:val="000000"/>
                <w:kern w:val="0"/>
                <w:sz w:val="24"/>
                <w:szCs w:val="24"/>
              </w:rPr>
              <w:t>其中：股票</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4,647,429,449.16</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89.51</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hAnsi="宋体"/>
                <w:color w:val="000000"/>
                <w:kern w:val="0"/>
                <w:sz w:val="24"/>
                <w:szCs w:val="24"/>
              </w:rPr>
            </w:pPr>
            <w:r w:rsidRPr="00B05049">
              <w:rPr>
                <w:rFonts w:ascii="宋体" w:hAnsi="宋体"/>
                <w:color w:val="000000"/>
                <w:kern w:val="0"/>
                <w:sz w:val="24"/>
                <w:szCs w:val="24"/>
              </w:rPr>
              <w:t>2</w:t>
            </w:r>
          </w:p>
        </w:tc>
        <w:tc>
          <w:tcPr>
            <w:tcW w:w="3357" w:type="dxa"/>
            <w:vAlign w:val="center"/>
          </w:tcPr>
          <w:p w:rsidR="00750D48" w:rsidRPr="00B05049" w:rsidRDefault="00750D48" w:rsidP="00B05049">
            <w:pPr>
              <w:spacing w:before="29" w:line="360" w:lineRule="auto"/>
              <w:ind w:left="17"/>
              <w:jc w:val="left"/>
              <w:rPr>
                <w:rFonts w:ascii="宋体"/>
                <w:kern w:val="0"/>
                <w:sz w:val="24"/>
                <w:szCs w:val="24"/>
              </w:rPr>
            </w:pPr>
            <w:r w:rsidRPr="00B05049">
              <w:rPr>
                <w:rFonts w:ascii="宋体" w:hAnsi="宋体" w:cs="宋体" w:hint="eastAsia"/>
                <w:color w:val="000000"/>
                <w:kern w:val="0"/>
                <w:sz w:val="24"/>
                <w:szCs w:val="24"/>
              </w:rPr>
              <w:t>固定收益投资</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51,482,760.00</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0.99</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color w:val="000000"/>
                <w:kern w:val="0"/>
                <w:sz w:val="24"/>
                <w:szCs w:val="24"/>
              </w:rPr>
            </w:pPr>
          </w:p>
        </w:tc>
        <w:tc>
          <w:tcPr>
            <w:tcW w:w="3357" w:type="dxa"/>
            <w:vAlign w:val="center"/>
          </w:tcPr>
          <w:p w:rsidR="00750D48" w:rsidRPr="00B05049" w:rsidRDefault="00750D48" w:rsidP="00B05049">
            <w:pPr>
              <w:spacing w:before="29" w:line="360" w:lineRule="auto"/>
              <w:ind w:left="17"/>
              <w:jc w:val="left"/>
              <w:rPr>
                <w:rFonts w:ascii="宋体"/>
                <w:kern w:val="0"/>
                <w:sz w:val="24"/>
                <w:szCs w:val="24"/>
              </w:rPr>
            </w:pPr>
            <w:r w:rsidRPr="00B05049">
              <w:rPr>
                <w:rFonts w:ascii="宋体" w:hAnsi="宋体" w:cs="宋体" w:hint="eastAsia"/>
                <w:color w:val="000000"/>
                <w:kern w:val="0"/>
                <w:sz w:val="24"/>
                <w:szCs w:val="24"/>
              </w:rPr>
              <w:t>其中：债券</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51,482,760.00</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0.99</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color w:val="000000"/>
                <w:kern w:val="0"/>
                <w:sz w:val="24"/>
                <w:szCs w:val="24"/>
              </w:rPr>
            </w:pPr>
          </w:p>
        </w:tc>
        <w:tc>
          <w:tcPr>
            <w:tcW w:w="3357" w:type="dxa"/>
            <w:vAlign w:val="center"/>
          </w:tcPr>
          <w:p w:rsidR="00750D48" w:rsidRPr="00B05049" w:rsidRDefault="00750D48" w:rsidP="00B05049">
            <w:pPr>
              <w:autoSpaceDE w:val="0"/>
              <w:autoSpaceDN w:val="0"/>
              <w:adjustRightInd w:val="0"/>
              <w:spacing w:before="29" w:line="360" w:lineRule="auto"/>
              <w:ind w:left="17"/>
              <w:jc w:val="left"/>
              <w:rPr>
                <w:rFonts w:ascii="宋体"/>
                <w:color w:val="000000"/>
                <w:kern w:val="0"/>
                <w:sz w:val="24"/>
                <w:szCs w:val="24"/>
              </w:rPr>
            </w:pPr>
            <w:r w:rsidRPr="00B05049">
              <w:rPr>
                <w:rFonts w:ascii="宋体" w:hAnsi="宋体" w:cs="宋体" w:hint="eastAsia"/>
                <w:color w:val="000000"/>
                <w:kern w:val="0"/>
                <w:sz w:val="24"/>
                <w:szCs w:val="24"/>
              </w:rPr>
              <w:t>资产支持证券</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720" w:type="dxa"/>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3</w:t>
            </w:r>
          </w:p>
        </w:tc>
        <w:tc>
          <w:tcPr>
            <w:tcW w:w="3357" w:type="dxa"/>
          </w:tcPr>
          <w:p w:rsidR="00750D48" w:rsidRPr="00B05049" w:rsidRDefault="00750D48" w:rsidP="00EB572F">
            <w:pPr>
              <w:spacing w:before="29" w:line="360" w:lineRule="auto"/>
              <w:ind w:leftChars="50" w:left="105"/>
              <w:rPr>
                <w:rFonts w:ascii="宋体" w:cs="宋体"/>
                <w:color w:val="000000"/>
                <w:kern w:val="0"/>
                <w:sz w:val="24"/>
                <w:szCs w:val="24"/>
              </w:rPr>
            </w:pPr>
            <w:r w:rsidRPr="00B05049">
              <w:rPr>
                <w:rFonts w:ascii="宋体" w:hAnsi="宋体" w:cs="宋体" w:hint="eastAsia"/>
                <w:color w:val="000000"/>
                <w:kern w:val="0"/>
                <w:sz w:val="24"/>
                <w:szCs w:val="24"/>
              </w:rPr>
              <w:t>贵金属投资</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4</w:t>
            </w:r>
          </w:p>
        </w:tc>
        <w:tc>
          <w:tcPr>
            <w:tcW w:w="3357"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金融衍生品投资</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hAnsi="宋体"/>
                <w:color w:val="000000"/>
                <w:kern w:val="0"/>
                <w:sz w:val="24"/>
                <w:szCs w:val="24"/>
              </w:rPr>
            </w:pPr>
            <w:r w:rsidRPr="00B05049">
              <w:rPr>
                <w:rFonts w:ascii="宋体" w:hAnsi="宋体"/>
                <w:color w:val="000000"/>
                <w:kern w:val="0"/>
                <w:sz w:val="24"/>
                <w:szCs w:val="24"/>
              </w:rPr>
              <w:t>5</w:t>
            </w:r>
          </w:p>
        </w:tc>
        <w:tc>
          <w:tcPr>
            <w:tcW w:w="3357" w:type="dxa"/>
            <w:vAlign w:val="center"/>
          </w:tcPr>
          <w:p w:rsidR="00750D48" w:rsidRPr="00B05049" w:rsidRDefault="00750D48" w:rsidP="00B05049">
            <w:pPr>
              <w:spacing w:before="29" w:line="360" w:lineRule="auto"/>
              <w:ind w:left="17"/>
              <w:jc w:val="left"/>
              <w:rPr>
                <w:rFonts w:ascii="宋体"/>
                <w:kern w:val="0"/>
                <w:sz w:val="24"/>
                <w:szCs w:val="24"/>
              </w:rPr>
            </w:pPr>
            <w:r w:rsidRPr="00B05049">
              <w:rPr>
                <w:rFonts w:ascii="宋体" w:hAnsi="宋体" w:cs="宋体" w:hint="eastAsia"/>
                <w:color w:val="000000"/>
                <w:kern w:val="0"/>
                <w:sz w:val="24"/>
                <w:szCs w:val="24"/>
              </w:rPr>
              <w:t>买入返售金融资产</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100,000,270.00</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1.93</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color w:val="000000"/>
                <w:kern w:val="0"/>
                <w:sz w:val="24"/>
                <w:szCs w:val="24"/>
              </w:rPr>
            </w:pPr>
          </w:p>
        </w:tc>
        <w:tc>
          <w:tcPr>
            <w:tcW w:w="3357" w:type="dxa"/>
            <w:vAlign w:val="center"/>
          </w:tcPr>
          <w:p w:rsidR="00750D48" w:rsidRPr="00B05049" w:rsidRDefault="00750D48" w:rsidP="00B05049">
            <w:pPr>
              <w:spacing w:before="29" w:line="360" w:lineRule="auto"/>
              <w:ind w:left="17"/>
              <w:jc w:val="left"/>
              <w:rPr>
                <w:rFonts w:ascii="宋体"/>
                <w:kern w:val="0"/>
                <w:sz w:val="24"/>
                <w:szCs w:val="24"/>
              </w:rPr>
            </w:pPr>
            <w:r w:rsidRPr="00B05049">
              <w:rPr>
                <w:rFonts w:ascii="宋体" w:hAnsi="宋体" w:cs="宋体" w:hint="eastAsia"/>
                <w:color w:val="000000"/>
                <w:kern w:val="0"/>
                <w:sz w:val="24"/>
                <w:szCs w:val="24"/>
              </w:rPr>
              <w:t>其中：买断式回购的买入返售金融资产</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hAnsi="宋体"/>
                <w:color w:val="000000"/>
                <w:kern w:val="0"/>
                <w:sz w:val="24"/>
                <w:szCs w:val="24"/>
              </w:rPr>
            </w:pPr>
            <w:r w:rsidRPr="00B05049">
              <w:rPr>
                <w:rFonts w:ascii="宋体" w:hAnsi="宋体"/>
                <w:color w:val="000000"/>
                <w:kern w:val="0"/>
                <w:sz w:val="24"/>
                <w:szCs w:val="24"/>
              </w:rPr>
              <w:t>6</w:t>
            </w:r>
          </w:p>
        </w:tc>
        <w:tc>
          <w:tcPr>
            <w:tcW w:w="3357" w:type="dxa"/>
            <w:vAlign w:val="center"/>
          </w:tcPr>
          <w:p w:rsidR="00750D48" w:rsidRPr="00B05049" w:rsidRDefault="00750D48" w:rsidP="00B05049">
            <w:pPr>
              <w:spacing w:before="29" w:line="360" w:lineRule="auto"/>
              <w:ind w:left="17"/>
              <w:jc w:val="left"/>
              <w:rPr>
                <w:rFonts w:ascii="宋体"/>
                <w:kern w:val="0"/>
                <w:sz w:val="24"/>
                <w:szCs w:val="24"/>
              </w:rPr>
            </w:pPr>
            <w:r w:rsidRPr="00B05049">
              <w:rPr>
                <w:rFonts w:ascii="宋体" w:hAnsi="宋体" w:cs="宋体" w:hint="eastAsia"/>
                <w:color w:val="000000"/>
                <w:kern w:val="0"/>
                <w:sz w:val="24"/>
                <w:szCs w:val="24"/>
              </w:rPr>
              <w:t>银行存款和结算备付金合计</w:t>
            </w:r>
          </w:p>
        </w:tc>
        <w:tc>
          <w:tcPr>
            <w:tcW w:w="2977"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346,906,128.27</w:t>
            </w:r>
          </w:p>
        </w:tc>
        <w:tc>
          <w:tcPr>
            <w:tcW w:w="1843"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6.68</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hAnsi="宋体"/>
                <w:color w:val="000000"/>
                <w:kern w:val="0"/>
                <w:sz w:val="24"/>
                <w:szCs w:val="24"/>
              </w:rPr>
            </w:pPr>
            <w:r w:rsidRPr="00B05049">
              <w:rPr>
                <w:rFonts w:ascii="宋体" w:hAnsi="宋体"/>
                <w:color w:val="000000"/>
                <w:kern w:val="0"/>
                <w:sz w:val="24"/>
                <w:szCs w:val="24"/>
              </w:rPr>
              <w:t>7</w:t>
            </w:r>
          </w:p>
        </w:tc>
        <w:tc>
          <w:tcPr>
            <w:tcW w:w="3357" w:type="dxa"/>
            <w:vAlign w:val="center"/>
          </w:tcPr>
          <w:p w:rsidR="00750D48" w:rsidRPr="00B05049" w:rsidRDefault="00750D48" w:rsidP="00B05049">
            <w:pPr>
              <w:jc w:val="left"/>
              <w:rPr>
                <w:rFonts w:ascii="宋体"/>
                <w:kern w:val="0"/>
                <w:sz w:val="24"/>
                <w:szCs w:val="24"/>
              </w:rPr>
            </w:pPr>
            <w:r>
              <w:rPr>
                <w:rFonts w:ascii="宋体" w:hAnsi="宋体" w:cs="宋体" w:hint="eastAsia"/>
                <w:color w:val="000000"/>
                <w:kern w:val="0"/>
                <w:sz w:val="24"/>
                <w:szCs w:val="24"/>
              </w:rPr>
              <w:t>其他</w:t>
            </w:r>
            <w:r w:rsidRPr="00B05049">
              <w:rPr>
                <w:rFonts w:ascii="宋体" w:hAnsi="宋体" w:cs="宋体" w:hint="eastAsia"/>
                <w:color w:val="000000"/>
                <w:kern w:val="0"/>
                <w:sz w:val="24"/>
                <w:szCs w:val="24"/>
              </w:rPr>
              <w:t>资产</w:t>
            </w:r>
          </w:p>
        </w:tc>
        <w:tc>
          <w:tcPr>
            <w:tcW w:w="2977" w:type="dxa"/>
            <w:vAlign w:val="center"/>
          </w:tcPr>
          <w:p w:rsidR="00750D48" w:rsidRPr="00B05049" w:rsidRDefault="00750D48" w:rsidP="00B05049">
            <w:pPr>
              <w:jc w:val="right"/>
              <w:rPr>
                <w:rFonts w:ascii="宋体" w:hAnsi="宋体" w:cs="宋体"/>
                <w:color w:val="000000"/>
                <w:kern w:val="0"/>
                <w:sz w:val="24"/>
                <w:szCs w:val="24"/>
              </w:rPr>
            </w:pPr>
            <w:r w:rsidRPr="00B05049">
              <w:rPr>
                <w:rFonts w:ascii="宋体" w:hAnsi="宋体" w:cs="宋体"/>
                <w:color w:val="000000"/>
                <w:kern w:val="0"/>
                <w:sz w:val="24"/>
                <w:szCs w:val="24"/>
              </w:rPr>
              <w:t>46,363,557.75</w:t>
            </w:r>
          </w:p>
        </w:tc>
        <w:tc>
          <w:tcPr>
            <w:tcW w:w="1843" w:type="dxa"/>
            <w:vAlign w:val="center"/>
          </w:tcPr>
          <w:p w:rsidR="00750D48" w:rsidRPr="00B05049" w:rsidRDefault="00750D48" w:rsidP="00B05049">
            <w:pPr>
              <w:jc w:val="right"/>
              <w:rPr>
                <w:rFonts w:ascii="宋体" w:hAnsi="宋体" w:cs="宋体"/>
                <w:color w:val="000000"/>
                <w:kern w:val="0"/>
                <w:sz w:val="24"/>
                <w:szCs w:val="24"/>
              </w:rPr>
            </w:pPr>
            <w:r w:rsidRPr="00B05049">
              <w:rPr>
                <w:rFonts w:ascii="宋体" w:hAnsi="宋体" w:cs="宋体"/>
                <w:color w:val="000000"/>
                <w:kern w:val="0"/>
                <w:sz w:val="24"/>
                <w:szCs w:val="24"/>
              </w:rPr>
              <w:t>0.89</w:t>
            </w:r>
          </w:p>
        </w:tc>
      </w:tr>
      <w:tr w:rsidR="00750D48" w:rsidRPr="00264E55" w:rsidTr="00B05049">
        <w:trPr>
          <w:jc w:val="center"/>
        </w:trPr>
        <w:tc>
          <w:tcPr>
            <w:tcW w:w="720" w:type="dxa"/>
            <w:vAlign w:val="center"/>
          </w:tcPr>
          <w:p w:rsidR="00750D48" w:rsidRPr="00B05049" w:rsidRDefault="00750D48" w:rsidP="00B05049">
            <w:pPr>
              <w:spacing w:before="29" w:line="360" w:lineRule="auto"/>
              <w:ind w:left="17"/>
              <w:jc w:val="center"/>
              <w:rPr>
                <w:rFonts w:ascii="宋体" w:hAnsi="宋体"/>
                <w:color w:val="000000"/>
                <w:kern w:val="0"/>
                <w:sz w:val="24"/>
                <w:szCs w:val="24"/>
              </w:rPr>
            </w:pPr>
            <w:r w:rsidRPr="00B05049">
              <w:rPr>
                <w:rFonts w:ascii="宋体" w:hAnsi="宋体"/>
                <w:color w:val="000000"/>
                <w:kern w:val="0"/>
                <w:sz w:val="24"/>
                <w:szCs w:val="24"/>
              </w:rPr>
              <w:t>8</w:t>
            </w:r>
          </w:p>
        </w:tc>
        <w:tc>
          <w:tcPr>
            <w:tcW w:w="3357" w:type="dxa"/>
            <w:vAlign w:val="center"/>
          </w:tcPr>
          <w:p w:rsidR="00750D48" w:rsidRPr="00B05049" w:rsidRDefault="00750D48" w:rsidP="00B05049">
            <w:pPr>
              <w:jc w:val="left"/>
              <w:rPr>
                <w:rFonts w:ascii="宋体"/>
                <w:kern w:val="0"/>
                <w:sz w:val="24"/>
                <w:szCs w:val="24"/>
              </w:rPr>
            </w:pPr>
            <w:r w:rsidRPr="00B05049">
              <w:rPr>
                <w:rFonts w:ascii="宋体" w:hAnsi="宋体" w:cs="宋体" w:hint="eastAsia"/>
                <w:color w:val="000000"/>
                <w:kern w:val="0"/>
                <w:sz w:val="24"/>
                <w:szCs w:val="24"/>
              </w:rPr>
              <w:t>合计</w:t>
            </w:r>
          </w:p>
        </w:tc>
        <w:tc>
          <w:tcPr>
            <w:tcW w:w="2977" w:type="dxa"/>
            <w:vAlign w:val="center"/>
          </w:tcPr>
          <w:p w:rsidR="00750D48" w:rsidRPr="00B05049" w:rsidRDefault="00750D48" w:rsidP="00B05049">
            <w:pPr>
              <w:jc w:val="right"/>
              <w:rPr>
                <w:rFonts w:ascii="宋体" w:hAnsi="宋体" w:cs="宋体"/>
                <w:color w:val="000000"/>
                <w:kern w:val="0"/>
                <w:sz w:val="24"/>
                <w:szCs w:val="24"/>
              </w:rPr>
            </w:pPr>
            <w:r w:rsidRPr="00B05049">
              <w:rPr>
                <w:rFonts w:ascii="宋体" w:hAnsi="宋体" w:cs="宋体"/>
                <w:color w:val="000000"/>
                <w:kern w:val="0"/>
                <w:sz w:val="24"/>
                <w:szCs w:val="24"/>
              </w:rPr>
              <w:t>5,192,182,165.18</w:t>
            </w:r>
          </w:p>
        </w:tc>
        <w:tc>
          <w:tcPr>
            <w:tcW w:w="1843" w:type="dxa"/>
            <w:vAlign w:val="center"/>
          </w:tcPr>
          <w:p w:rsidR="00750D48" w:rsidRPr="00B05049" w:rsidRDefault="00750D48" w:rsidP="00B05049">
            <w:pPr>
              <w:jc w:val="right"/>
              <w:rPr>
                <w:rFonts w:ascii="宋体" w:hAnsi="宋体" w:cs="宋体"/>
                <w:color w:val="000000"/>
                <w:kern w:val="0"/>
                <w:sz w:val="24"/>
                <w:szCs w:val="24"/>
              </w:rPr>
            </w:pPr>
            <w:r w:rsidRPr="00B05049">
              <w:rPr>
                <w:rFonts w:ascii="宋体" w:hAnsi="宋体" w:cs="宋体"/>
                <w:color w:val="000000"/>
                <w:kern w:val="0"/>
                <w:sz w:val="24"/>
                <w:szCs w:val="24"/>
              </w:rPr>
              <w:t>100.00</w:t>
            </w:r>
          </w:p>
        </w:tc>
      </w:tr>
    </w:tbl>
    <w:p w:rsidR="00750D48" w:rsidRPr="00264E55" w:rsidRDefault="00750D48" w:rsidP="004061AC">
      <w:pPr>
        <w:autoSpaceDE w:val="0"/>
        <w:autoSpaceDN w:val="0"/>
        <w:adjustRightInd w:val="0"/>
        <w:spacing w:line="360" w:lineRule="auto"/>
        <w:jc w:val="left"/>
        <w:rPr>
          <w:rFonts w:ascii="宋体" w:cs="宋体"/>
          <w:color w:val="000000"/>
          <w:sz w:val="24"/>
          <w:szCs w:val="24"/>
        </w:rPr>
      </w:pP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5.2 </w:t>
      </w:r>
      <w:r w:rsidRPr="00264E55">
        <w:rPr>
          <w:rFonts w:ascii="宋体" w:hAnsi="宋体" w:hint="eastAsia"/>
          <w:b/>
          <w:bCs/>
          <w:color w:val="000000"/>
          <w:kern w:val="0"/>
          <w:sz w:val="24"/>
          <w:szCs w:val="24"/>
        </w:rPr>
        <w:t>报告期末按行业分类的股票投资组合</w:t>
      </w:r>
    </w:p>
    <w:tbl>
      <w:tblPr>
        <w:tblW w:w="8857"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3691"/>
        <w:gridCol w:w="2846"/>
        <w:gridCol w:w="1780"/>
      </w:tblGrid>
      <w:tr w:rsidR="00750D48" w:rsidRPr="00264E55" w:rsidTr="0069426C">
        <w:trPr>
          <w:trHeight w:val="390"/>
          <w:jc w:val="center"/>
        </w:trPr>
        <w:tc>
          <w:tcPr>
            <w:tcW w:w="540" w:type="dxa"/>
            <w:vAlign w:val="center"/>
          </w:tcPr>
          <w:p w:rsidR="00750D48" w:rsidRPr="00264E55" w:rsidRDefault="00750D48" w:rsidP="00171EF0">
            <w:pPr>
              <w:adjustRightInd w:val="0"/>
              <w:snapToGrid w:val="0"/>
              <w:spacing w:line="400" w:lineRule="exact"/>
              <w:jc w:val="center"/>
              <w:rPr>
                <w:rFonts w:ascii="宋体"/>
                <w:sz w:val="24"/>
                <w:szCs w:val="24"/>
              </w:rPr>
            </w:pPr>
            <w:r w:rsidRPr="00264E55">
              <w:rPr>
                <w:rFonts w:ascii="宋体" w:hAnsi="宋体" w:hint="eastAsia"/>
                <w:sz w:val="24"/>
                <w:szCs w:val="24"/>
              </w:rPr>
              <w:t>代码</w:t>
            </w:r>
          </w:p>
        </w:tc>
        <w:tc>
          <w:tcPr>
            <w:tcW w:w="3691" w:type="dxa"/>
            <w:tcBorders>
              <w:right w:val="single" w:sz="4" w:space="0" w:color="auto"/>
            </w:tcBorders>
            <w:tcMar>
              <w:top w:w="15" w:type="dxa"/>
              <w:left w:w="15" w:type="dxa"/>
              <w:bottom w:w="0" w:type="dxa"/>
              <w:right w:w="15" w:type="dxa"/>
            </w:tcMar>
            <w:vAlign w:val="center"/>
          </w:tcPr>
          <w:p w:rsidR="00750D48" w:rsidRPr="00264E55" w:rsidRDefault="00750D48" w:rsidP="00C73BCD">
            <w:pPr>
              <w:adjustRightInd w:val="0"/>
              <w:snapToGrid w:val="0"/>
              <w:spacing w:line="400" w:lineRule="exact"/>
              <w:jc w:val="center"/>
              <w:rPr>
                <w:rFonts w:ascii="宋体" w:hAnsi="宋体"/>
                <w:sz w:val="24"/>
                <w:szCs w:val="24"/>
              </w:rPr>
            </w:pPr>
            <w:r w:rsidRPr="00264E55">
              <w:rPr>
                <w:rFonts w:ascii="宋体" w:hAnsi="宋体" w:hint="eastAsia"/>
                <w:sz w:val="24"/>
                <w:szCs w:val="24"/>
              </w:rPr>
              <w:t>行业类别</w:t>
            </w:r>
          </w:p>
        </w:tc>
        <w:tc>
          <w:tcPr>
            <w:tcW w:w="2846" w:type="dxa"/>
            <w:tcBorders>
              <w:left w:val="single" w:sz="4" w:space="0" w:color="auto"/>
            </w:tcBorders>
            <w:vAlign w:val="center"/>
          </w:tcPr>
          <w:p w:rsidR="00750D48" w:rsidRPr="00264E55" w:rsidRDefault="00750D48" w:rsidP="00171EF0">
            <w:pPr>
              <w:adjustRightInd w:val="0"/>
              <w:snapToGrid w:val="0"/>
              <w:spacing w:line="400" w:lineRule="exact"/>
              <w:jc w:val="center"/>
              <w:rPr>
                <w:rFonts w:ascii="宋体"/>
                <w:sz w:val="24"/>
                <w:szCs w:val="24"/>
              </w:rPr>
            </w:pPr>
            <w:r w:rsidRPr="00264E55">
              <w:rPr>
                <w:rFonts w:ascii="宋体" w:hAnsi="宋体" w:hint="eastAsia"/>
                <w:sz w:val="24"/>
                <w:szCs w:val="24"/>
              </w:rPr>
              <w:t>公允价值（元）</w:t>
            </w:r>
          </w:p>
        </w:tc>
        <w:tc>
          <w:tcPr>
            <w:tcW w:w="1780" w:type="dxa"/>
            <w:tcMar>
              <w:top w:w="15" w:type="dxa"/>
              <w:left w:w="15" w:type="dxa"/>
              <w:bottom w:w="0" w:type="dxa"/>
              <w:right w:w="15" w:type="dxa"/>
            </w:tcMar>
            <w:vAlign w:val="center"/>
          </w:tcPr>
          <w:p w:rsidR="00750D48" w:rsidRPr="00264E55" w:rsidRDefault="00750D48" w:rsidP="00171EF0">
            <w:pPr>
              <w:adjustRightInd w:val="0"/>
              <w:snapToGrid w:val="0"/>
              <w:spacing w:line="400" w:lineRule="exact"/>
              <w:jc w:val="center"/>
              <w:rPr>
                <w:rFonts w:ascii="宋体"/>
                <w:sz w:val="24"/>
                <w:szCs w:val="24"/>
              </w:rPr>
            </w:pPr>
            <w:r w:rsidRPr="00264E55">
              <w:rPr>
                <w:rFonts w:ascii="宋体" w:hAnsi="宋体" w:hint="eastAsia"/>
                <w:sz w:val="24"/>
                <w:szCs w:val="24"/>
              </w:rPr>
              <w:t>占基金资产净值比例（％）</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A</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农、林、牧、渔业</w:t>
            </w:r>
          </w:p>
        </w:tc>
        <w:tc>
          <w:tcPr>
            <w:tcW w:w="2846" w:type="dxa"/>
            <w:tcBorders>
              <w:left w:val="single" w:sz="4" w:space="0" w:color="auto"/>
            </w:tcBorders>
            <w:vAlign w:val="center"/>
          </w:tcPr>
          <w:p w:rsidR="00750D48" w:rsidRPr="00264E55" w:rsidRDefault="00750D48" w:rsidP="00171EF0">
            <w:pPr>
              <w:autoSpaceDE w:val="0"/>
              <w:autoSpaceDN w:val="0"/>
              <w:adjustRightInd w:val="0"/>
              <w:spacing w:before="29" w:line="360" w:lineRule="auto"/>
              <w:ind w:left="15"/>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center"/>
          </w:tcPr>
          <w:p w:rsidR="00750D48" w:rsidRPr="00264E55" w:rsidRDefault="00750D48" w:rsidP="00171EF0">
            <w:pPr>
              <w:autoSpaceDE w:val="0"/>
              <w:autoSpaceDN w:val="0"/>
              <w:adjustRightInd w:val="0"/>
              <w:spacing w:before="29" w:line="360" w:lineRule="auto"/>
              <w:ind w:left="15"/>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B</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采矿业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p w:rsidR="00750D48" w:rsidRPr="00264E55" w:rsidRDefault="00750D48" w:rsidP="00171EF0">
            <w:pPr>
              <w:jc w:val="right"/>
              <w:rPr>
                <w:rFonts w:ascii="宋体" w:hAnsi="宋体"/>
                <w:sz w:val="24"/>
                <w:szCs w:val="24"/>
              </w:rPr>
            </w:pP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p w:rsidR="00750D48" w:rsidRPr="00264E55" w:rsidRDefault="00750D48" w:rsidP="00171EF0">
            <w:pPr>
              <w:jc w:val="right"/>
              <w:rPr>
                <w:rFonts w:ascii="宋体" w:hAnsi="宋体"/>
                <w:sz w:val="24"/>
                <w:szCs w:val="24"/>
              </w:rPr>
            </w:pP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C</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制造业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2,421,152,283.94</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47.19</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D</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电力、热力、燃气及水生产和供应业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E</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建筑业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413,924,406.34</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8.07</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F</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批发和零售业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47,458,006.68</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0.92</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G</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交通运输、仓储和邮政业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H</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住宿和餐饮业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sz w:val="24"/>
                <w:szCs w:val="24"/>
              </w:rPr>
            </w:pPr>
            <w:r w:rsidRPr="00264E55">
              <w:rPr>
                <w:rFonts w:ascii="宋体" w:hAnsi="宋体"/>
                <w:sz w:val="24"/>
                <w:szCs w:val="24"/>
              </w:rPr>
              <w:t>I</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sz w:val="24"/>
                <w:szCs w:val="24"/>
              </w:rPr>
            </w:pPr>
            <w:r w:rsidRPr="00264E55">
              <w:rPr>
                <w:rFonts w:ascii="宋体" w:hAnsi="宋体" w:hint="eastAsia"/>
                <w:sz w:val="24"/>
                <w:szCs w:val="24"/>
              </w:rPr>
              <w:t>信息传输、软件和信息技术服务业</w:t>
            </w:r>
          </w:p>
          <w:p w:rsidR="00750D48" w:rsidRPr="00264E55" w:rsidRDefault="00750D48" w:rsidP="00C73BCD">
            <w:pPr>
              <w:jc w:val="left"/>
              <w:rPr>
                <w:rFonts w:ascii="宋体"/>
                <w:sz w:val="24"/>
                <w:szCs w:val="24"/>
              </w:rPr>
            </w:pP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959,024,180.96</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18.69</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J</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金融业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481,210,869.08</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9.38</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K</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房地产业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L</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租赁和商务服务业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224,410,047.96</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4.37</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M</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科学研究和技术服务业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1,258.00</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0.00</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N</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水利、环境和公共设施管理业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92,960,000.00</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1.81</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O</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居民服务、修理和其他服务业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P</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教育</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Q</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卫生和社会工作</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R</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文化、体育和娱乐业</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7,288,396.20</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0.14</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hAnsi="宋体"/>
                <w:color w:val="000000"/>
                <w:sz w:val="24"/>
                <w:szCs w:val="24"/>
              </w:rPr>
            </w:pPr>
            <w:r w:rsidRPr="00264E55">
              <w:rPr>
                <w:rFonts w:ascii="宋体" w:hAnsi="宋体"/>
                <w:color w:val="000000"/>
                <w:sz w:val="24"/>
                <w:szCs w:val="24"/>
              </w:rPr>
              <w:t>S</w:t>
            </w:r>
          </w:p>
        </w:tc>
        <w:tc>
          <w:tcPr>
            <w:tcW w:w="3691" w:type="dxa"/>
            <w:tcBorders>
              <w:right w:val="single" w:sz="4" w:space="0" w:color="auto"/>
            </w:tcBorders>
            <w:tcMar>
              <w:top w:w="15" w:type="dxa"/>
              <w:left w:w="15" w:type="dxa"/>
              <w:bottom w:w="0" w:type="dxa"/>
              <w:right w:w="15" w:type="dxa"/>
            </w:tcMar>
          </w:tcPr>
          <w:p w:rsidR="00750D48" w:rsidRPr="00264E55" w:rsidRDefault="00750D48" w:rsidP="00C73BCD">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综合</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w:t>
            </w:r>
          </w:p>
        </w:tc>
      </w:tr>
      <w:tr w:rsidR="00750D48" w:rsidRPr="00264E55" w:rsidTr="0069426C">
        <w:trPr>
          <w:trHeight w:val="285"/>
          <w:jc w:val="center"/>
        </w:trPr>
        <w:tc>
          <w:tcPr>
            <w:tcW w:w="540" w:type="dxa"/>
            <w:tcMar>
              <w:top w:w="15" w:type="dxa"/>
              <w:left w:w="15" w:type="dxa"/>
              <w:bottom w:w="0" w:type="dxa"/>
              <w:right w:w="15" w:type="dxa"/>
            </w:tcMar>
          </w:tcPr>
          <w:p w:rsidR="00750D48" w:rsidRPr="00264E55" w:rsidRDefault="00750D48" w:rsidP="00171EF0">
            <w:pPr>
              <w:adjustRightInd w:val="0"/>
              <w:snapToGrid w:val="0"/>
              <w:spacing w:line="400" w:lineRule="exact"/>
              <w:jc w:val="center"/>
              <w:rPr>
                <w:rFonts w:ascii="宋体"/>
                <w:color w:val="000000"/>
                <w:sz w:val="24"/>
                <w:szCs w:val="24"/>
              </w:rPr>
            </w:pPr>
          </w:p>
        </w:tc>
        <w:tc>
          <w:tcPr>
            <w:tcW w:w="3691" w:type="dxa"/>
            <w:tcBorders>
              <w:right w:val="single" w:sz="4" w:space="0" w:color="auto"/>
            </w:tcBorders>
            <w:tcMar>
              <w:top w:w="15" w:type="dxa"/>
              <w:left w:w="15" w:type="dxa"/>
              <w:bottom w:w="0" w:type="dxa"/>
              <w:right w:w="15" w:type="dxa"/>
            </w:tcMar>
          </w:tcPr>
          <w:p w:rsidR="00750D48" w:rsidRPr="00264E55" w:rsidRDefault="00750D48" w:rsidP="00C222B2">
            <w:pPr>
              <w:adjustRightInd w:val="0"/>
              <w:snapToGrid w:val="0"/>
              <w:spacing w:line="400" w:lineRule="exact"/>
              <w:jc w:val="left"/>
              <w:rPr>
                <w:rFonts w:ascii="宋体"/>
                <w:color w:val="000000"/>
                <w:sz w:val="24"/>
                <w:szCs w:val="24"/>
              </w:rPr>
            </w:pPr>
            <w:r w:rsidRPr="00264E55">
              <w:rPr>
                <w:rFonts w:ascii="宋体" w:hAnsi="宋体" w:hint="eastAsia"/>
                <w:color w:val="000000"/>
                <w:sz w:val="24"/>
                <w:szCs w:val="24"/>
              </w:rPr>
              <w:t>合计</w:t>
            </w:r>
          </w:p>
        </w:tc>
        <w:tc>
          <w:tcPr>
            <w:tcW w:w="2846" w:type="dxa"/>
            <w:tcBorders>
              <w:left w:val="single" w:sz="4" w:space="0" w:color="auto"/>
            </w:tcBorders>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4,647,429,449.16</w:t>
            </w:r>
          </w:p>
        </w:tc>
        <w:tc>
          <w:tcPr>
            <w:tcW w:w="1780" w:type="dxa"/>
            <w:tcMar>
              <w:top w:w="15" w:type="dxa"/>
              <w:left w:w="15" w:type="dxa"/>
              <w:bottom w:w="0" w:type="dxa"/>
              <w:right w:w="15" w:type="dxa"/>
            </w:tcMar>
            <w:vAlign w:val="bottom"/>
          </w:tcPr>
          <w:p w:rsidR="00750D48" w:rsidRPr="00264E55" w:rsidRDefault="00750D48" w:rsidP="00171EF0">
            <w:pPr>
              <w:jc w:val="right"/>
              <w:rPr>
                <w:rFonts w:ascii="宋体" w:hAnsi="宋体"/>
                <w:sz w:val="24"/>
                <w:szCs w:val="24"/>
              </w:rPr>
            </w:pPr>
            <w:r w:rsidRPr="00264E55">
              <w:rPr>
                <w:rFonts w:ascii="宋体" w:hAnsi="宋体"/>
                <w:sz w:val="24"/>
                <w:szCs w:val="24"/>
              </w:rPr>
              <w:t>90.57</w:t>
            </w:r>
          </w:p>
        </w:tc>
      </w:tr>
    </w:tbl>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276"/>
        <w:gridCol w:w="1418"/>
        <w:gridCol w:w="1701"/>
        <w:gridCol w:w="1984"/>
        <w:gridCol w:w="1559"/>
      </w:tblGrid>
      <w:tr w:rsidR="00750D48" w:rsidRPr="00264E55" w:rsidTr="00191BDE">
        <w:tc>
          <w:tcPr>
            <w:tcW w:w="851"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序号</w:t>
            </w:r>
          </w:p>
        </w:tc>
        <w:tc>
          <w:tcPr>
            <w:tcW w:w="1276"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股票代码</w:t>
            </w:r>
          </w:p>
        </w:tc>
        <w:tc>
          <w:tcPr>
            <w:tcW w:w="1418" w:type="dxa"/>
            <w:vAlign w:val="center"/>
          </w:tcPr>
          <w:p w:rsidR="00750D48" w:rsidRPr="00B05049" w:rsidRDefault="00750D48" w:rsidP="005F7917">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股票名称</w:t>
            </w:r>
          </w:p>
        </w:tc>
        <w:tc>
          <w:tcPr>
            <w:tcW w:w="1701"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数量</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股</w:t>
            </w:r>
            <w:r w:rsidR="005F7917">
              <w:rPr>
                <w:rFonts w:ascii="宋体" w:hAnsi="宋体" w:cs="宋体" w:hint="eastAsia"/>
                <w:color w:val="000000"/>
                <w:kern w:val="0"/>
                <w:sz w:val="24"/>
                <w:szCs w:val="24"/>
              </w:rPr>
              <w:t>）</w:t>
            </w:r>
          </w:p>
        </w:tc>
        <w:tc>
          <w:tcPr>
            <w:tcW w:w="1984" w:type="dxa"/>
            <w:vAlign w:val="center"/>
          </w:tcPr>
          <w:p w:rsidR="00750D48" w:rsidRPr="00B05049" w:rsidRDefault="00750D48" w:rsidP="005F7917">
            <w:pPr>
              <w:autoSpaceDE w:val="0"/>
              <w:autoSpaceDN w:val="0"/>
              <w:adjustRightInd w:val="0"/>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公允价值</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元</w:t>
            </w:r>
            <w:r w:rsidR="005F7917">
              <w:rPr>
                <w:rFonts w:ascii="宋体" w:hAnsi="宋体" w:cs="宋体" w:hint="eastAsia"/>
                <w:color w:val="000000"/>
                <w:kern w:val="0"/>
                <w:sz w:val="24"/>
                <w:szCs w:val="24"/>
              </w:rPr>
              <w:t>）</w:t>
            </w:r>
          </w:p>
        </w:tc>
        <w:tc>
          <w:tcPr>
            <w:tcW w:w="1559"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占基金资产净值比例</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w:t>
            </w:r>
            <w:r w:rsidR="005F7917">
              <w:rPr>
                <w:rFonts w:ascii="宋体" w:hAnsi="宋体" w:cs="宋体" w:hint="eastAsia"/>
                <w:color w:val="000000"/>
                <w:kern w:val="0"/>
                <w:sz w:val="24"/>
                <w:szCs w:val="24"/>
              </w:rPr>
              <w:t>）</w:t>
            </w:r>
          </w:p>
        </w:tc>
      </w:tr>
      <w:tr w:rsidR="00A0086C">
        <w:tc>
          <w:tcPr>
            <w:tcW w:w="851" w:type="dxa"/>
            <w:vAlign w:val="center"/>
          </w:tcPr>
          <w:p w:rsidR="00A0086C" w:rsidRDefault="00F23D76">
            <w:pPr>
              <w:jc w:val="center"/>
            </w:pPr>
            <w:r>
              <w:rPr>
                <w:color w:val="000000"/>
                <w:kern w:val="0"/>
                <w:sz w:val="24"/>
                <w:szCs w:val="24"/>
              </w:rPr>
              <w:lastRenderedPageBreak/>
              <w:t>1</w:t>
            </w:r>
          </w:p>
        </w:tc>
        <w:tc>
          <w:tcPr>
            <w:tcW w:w="1276" w:type="dxa"/>
            <w:vAlign w:val="center"/>
          </w:tcPr>
          <w:p w:rsidR="00A0086C" w:rsidRDefault="00F23D76">
            <w:pPr>
              <w:jc w:val="center"/>
            </w:pPr>
            <w:r>
              <w:rPr>
                <w:color w:val="000000"/>
                <w:kern w:val="0"/>
                <w:sz w:val="24"/>
                <w:szCs w:val="24"/>
              </w:rPr>
              <w:t>002415</w:t>
            </w:r>
          </w:p>
        </w:tc>
        <w:tc>
          <w:tcPr>
            <w:tcW w:w="1418" w:type="dxa"/>
            <w:vAlign w:val="center"/>
          </w:tcPr>
          <w:p w:rsidR="00A0086C" w:rsidRDefault="00F23D76">
            <w:pPr>
              <w:jc w:val="center"/>
            </w:pPr>
            <w:r>
              <w:rPr>
                <w:color w:val="000000"/>
                <w:kern w:val="0"/>
                <w:sz w:val="24"/>
                <w:szCs w:val="24"/>
              </w:rPr>
              <w:t>海康威视</w:t>
            </w:r>
          </w:p>
        </w:tc>
        <w:tc>
          <w:tcPr>
            <w:tcW w:w="1701" w:type="dxa"/>
            <w:vAlign w:val="center"/>
          </w:tcPr>
          <w:p w:rsidR="00A0086C" w:rsidRDefault="00F23D76">
            <w:pPr>
              <w:jc w:val="right"/>
            </w:pPr>
            <w:r>
              <w:rPr>
                <w:color w:val="000000"/>
                <w:kern w:val="0"/>
                <w:sz w:val="24"/>
                <w:szCs w:val="24"/>
              </w:rPr>
              <w:t>20,000,000</w:t>
            </w:r>
          </w:p>
        </w:tc>
        <w:tc>
          <w:tcPr>
            <w:tcW w:w="1984" w:type="dxa"/>
            <w:vAlign w:val="center"/>
          </w:tcPr>
          <w:p w:rsidR="00A0086C" w:rsidRDefault="00F23D76">
            <w:pPr>
              <w:jc w:val="right"/>
            </w:pPr>
            <w:r>
              <w:rPr>
                <w:color w:val="000000"/>
                <w:kern w:val="0"/>
                <w:sz w:val="24"/>
                <w:szCs w:val="24"/>
              </w:rPr>
              <w:t>385,400,000.00</w:t>
            </w:r>
          </w:p>
        </w:tc>
        <w:tc>
          <w:tcPr>
            <w:tcW w:w="1559" w:type="dxa"/>
            <w:vAlign w:val="center"/>
          </w:tcPr>
          <w:p w:rsidR="00A0086C" w:rsidRDefault="00F23D76">
            <w:pPr>
              <w:jc w:val="right"/>
            </w:pPr>
            <w:r>
              <w:rPr>
                <w:color w:val="000000"/>
                <w:kern w:val="0"/>
                <w:sz w:val="24"/>
                <w:szCs w:val="24"/>
              </w:rPr>
              <w:t>7.51</w:t>
            </w:r>
          </w:p>
        </w:tc>
      </w:tr>
      <w:tr w:rsidR="00A0086C">
        <w:tc>
          <w:tcPr>
            <w:tcW w:w="851" w:type="dxa"/>
            <w:vAlign w:val="center"/>
          </w:tcPr>
          <w:p w:rsidR="00A0086C" w:rsidRDefault="00F23D76">
            <w:pPr>
              <w:jc w:val="center"/>
            </w:pPr>
            <w:r>
              <w:rPr>
                <w:color w:val="000000"/>
                <w:kern w:val="0"/>
                <w:sz w:val="24"/>
                <w:szCs w:val="24"/>
              </w:rPr>
              <w:t>2</w:t>
            </w:r>
          </w:p>
        </w:tc>
        <w:tc>
          <w:tcPr>
            <w:tcW w:w="1276" w:type="dxa"/>
            <w:vAlign w:val="center"/>
          </w:tcPr>
          <w:p w:rsidR="00A0086C" w:rsidRDefault="00F23D76">
            <w:pPr>
              <w:jc w:val="center"/>
            </w:pPr>
            <w:r>
              <w:rPr>
                <w:color w:val="000000"/>
                <w:kern w:val="0"/>
                <w:sz w:val="24"/>
                <w:szCs w:val="24"/>
              </w:rPr>
              <w:t>600587</w:t>
            </w:r>
          </w:p>
        </w:tc>
        <w:tc>
          <w:tcPr>
            <w:tcW w:w="1418" w:type="dxa"/>
            <w:vAlign w:val="center"/>
          </w:tcPr>
          <w:p w:rsidR="00A0086C" w:rsidRDefault="00F23D76">
            <w:pPr>
              <w:jc w:val="center"/>
            </w:pPr>
            <w:r>
              <w:rPr>
                <w:color w:val="000000"/>
                <w:kern w:val="0"/>
                <w:sz w:val="24"/>
                <w:szCs w:val="24"/>
              </w:rPr>
              <w:t>新华医疗</w:t>
            </w:r>
          </w:p>
        </w:tc>
        <w:tc>
          <w:tcPr>
            <w:tcW w:w="1701" w:type="dxa"/>
            <w:vAlign w:val="center"/>
          </w:tcPr>
          <w:p w:rsidR="00A0086C" w:rsidRDefault="00F23D76">
            <w:pPr>
              <w:jc w:val="right"/>
            </w:pPr>
            <w:r>
              <w:rPr>
                <w:color w:val="000000"/>
                <w:kern w:val="0"/>
                <w:sz w:val="24"/>
                <w:szCs w:val="24"/>
              </w:rPr>
              <w:t>8,500,000</w:t>
            </w:r>
          </w:p>
        </w:tc>
        <w:tc>
          <w:tcPr>
            <w:tcW w:w="1984" w:type="dxa"/>
            <w:vAlign w:val="center"/>
          </w:tcPr>
          <w:p w:rsidR="00A0086C" w:rsidRDefault="00F23D76">
            <w:pPr>
              <w:jc w:val="right"/>
            </w:pPr>
            <w:r>
              <w:rPr>
                <w:color w:val="000000"/>
                <w:kern w:val="0"/>
                <w:sz w:val="24"/>
                <w:szCs w:val="24"/>
              </w:rPr>
              <w:t>317,985,000.00</w:t>
            </w:r>
          </w:p>
        </w:tc>
        <w:tc>
          <w:tcPr>
            <w:tcW w:w="1559" w:type="dxa"/>
            <w:vAlign w:val="center"/>
          </w:tcPr>
          <w:p w:rsidR="00A0086C" w:rsidRDefault="00F23D76">
            <w:pPr>
              <w:jc w:val="right"/>
            </w:pPr>
            <w:r>
              <w:rPr>
                <w:color w:val="000000"/>
                <w:kern w:val="0"/>
                <w:sz w:val="24"/>
                <w:szCs w:val="24"/>
              </w:rPr>
              <w:t>6.20</w:t>
            </w:r>
          </w:p>
        </w:tc>
      </w:tr>
      <w:tr w:rsidR="00A0086C">
        <w:tc>
          <w:tcPr>
            <w:tcW w:w="851" w:type="dxa"/>
            <w:vAlign w:val="center"/>
          </w:tcPr>
          <w:p w:rsidR="00A0086C" w:rsidRDefault="00F23D76">
            <w:pPr>
              <w:jc w:val="center"/>
            </w:pPr>
            <w:r>
              <w:rPr>
                <w:color w:val="000000"/>
                <w:kern w:val="0"/>
                <w:sz w:val="24"/>
                <w:szCs w:val="24"/>
              </w:rPr>
              <w:t>3</w:t>
            </w:r>
          </w:p>
        </w:tc>
        <w:tc>
          <w:tcPr>
            <w:tcW w:w="1276" w:type="dxa"/>
            <w:vAlign w:val="center"/>
          </w:tcPr>
          <w:p w:rsidR="00A0086C" w:rsidRDefault="00F23D76">
            <w:pPr>
              <w:jc w:val="center"/>
            </w:pPr>
            <w:r>
              <w:rPr>
                <w:color w:val="000000"/>
                <w:kern w:val="0"/>
                <w:sz w:val="24"/>
                <w:szCs w:val="24"/>
              </w:rPr>
              <w:t>002065</w:t>
            </w:r>
          </w:p>
        </w:tc>
        <w:tc>
          <w:tcPr>
            <w:tcW w:w="1418" w:type="dxa"/>
            <w:vAlign w:val="center"/>
          </w:tcPr>
          <w:p w:rsidR="00A0086C" w:rsidRDefault="00F23D76">
            <w:pPr>
              <w:jc w:val="center"/>
            </w:pPr>
            <w:r>
              <w:rPr>
                <w:color w:val="000000"/>
                <w:kern w:val="0"/>
                <w:sz w:val="24"/>
                <w:szCs w:val="24"/>
              </w:rPr>
              <w:t>东华软件</w:t>
            </w:r>
          </w:p>
        </w:tc>
        <w:tc>
          <w:tcPr>
            <w:tcW w:w="1701" w:type="dxa"/>
            <w:vAlign w:val="center"/>
          </w:tcPr>
          <w:p w:rsidR="00A0086C" w:rsidRDefault="00F23D76">
            <w:pPr>
              <w:jc w:val="right"/>
            </w:pPr>
            <w:r>
              <w:rPr>
                <w:color w:val="000000"/>
                <w:kern w:val="0"/>
                <w:sz w:val="24"/>
                <w:szCs w:val="24"/>
              </w:rPr>
              <w:t>15,024,872</w:t>
            </w:r>
          </w:p>
        </w:tc>
        <w:tc>
          <w:tcPr>
            <w:tcW w:w="1984" w:type="dxa"/>
            <w:vAlign w:val="center"/>
          </w:tcPr>
          <w:p w:rsidR="00A0086C" w:rsidRDefault="00F23D76">
            <w:pPr>
              <w:jc w:val="right"/>
            </w:pPr>
            <w:r>
              <w:rPr>
                <w:color w:val="000000"/>
                <w:kern w:val="0"/>
                <w:sz w:val="24"/>
                <w:szCs w:val="24"/>
              </w:rPr>
              <w:t>314,170,073.52</w:t>
            </w:r>
          </w:p>
        </w:tc>
        <w:tc>
          <w:tcPr>
            <w:tcW w:w="1559" w:type="dxa"/>
            <w:vAlign w:val="center"/>
          </w:tcPr>
          <w:p w:rsidR="00A0086C" w:rsidRDefault="00F23D76">
            <w:pPr>
              <w:jc w:val="right"/>
            </w:pPr>
            <w:r>
              <w:rPr>
                <w:color w:val="000000"/>
                <w:kern w:val="0"/>
                <w:sz w:val="24"/>
                <w:szCs w:val="24"/>
              </w:rPr>
              <w:t>6.12</w:t>
            </w:r>
          </w:p>
        </w:tc>
      </w:tr>
      <w:tr w:rsidR="00A0086C">
        <w:tc>
          <w:tcPr>
            <w:tcW w:w="851" w:type="dxa"/>
            <w:vAlign w:val="center"/>
          </w:tcPr>
          <w:p w:rsidR="00A0086C" w:rsidRDefault="00F23D76">
            <w:pPr>
              <w:jc w:val="center"/>
            </w:pPr>
            <w:r>
              <w:rPr>
                <w:color w:val="000000"/>
                <w:kern w:val="0"/>
                <w:sz w:val="24"/>
                <w:szCs w:val="24"/>
              </w:rPr>
              <w:t>4</w:t>
            </w:r>
          </w:p>
        </w:tc>
        <w:tc>
          <w:tcPr>
            <w:tcW w:w="1276" w:type="dxa"/>
            <w:vAlign w:val="center"/>
          </w:tcPr>
          <w:p w:rsidR="00A0086C" w:rsidRDefault="00F23D76">
            <w:pPr>
              <w:jc w:val="center"/>
            </w:pPr>
            <w:r>
              <w:rPr>
                <w:color w:val="000000"/>
                <w:kern w:val="0"/>
                <w:sz w:val="24"/>
                <w:szCs w:val="24"/>
              </w:rPr>
              <w:t>300168</w:t>
            </w:r>
          </w:p>
        </w:tc>
        <w:tc>
          <w:tcPr>
            <w:tcW w:w="1418" w:type="dxa"/>
            <w:vAlign w:val="center"/>
          </w:tcPr>
          <w:p w:rsidR="00A0086C" w:rsidRDefault="00F23D76">
            <w:pPr>
              <w:jc w:val="center"/>
            </w:pPr>
            <w:r>
              <w:rPr>
                <w:color w:val="000000"/>
                <w:kern w:val="0"/>
                <w:sz w:val="24"/>
                <w:szCs w:val="24"/>
              </w:rPr>
              <w:t>万达信息</w:t>
            </w:r>
          </w:p>
        </w:tc>
        <w:tc>
          <w:tcPr>
            <w:tcW w:w="1701" w:type="dxa"/>
            <w:vAlign w:val="center"/>
          </w:tcPr>
          <w:p w:rsidR="00A0086C" w:rsidRDefault="00F23D76">
            <w:pPr>
              <w:jc w:val="right"/>
            </w:pPr>
            <w:r>
              <w:rPr>
                <w:color w:val="000000"/>
                <w:kern w:val="0"/>
                <w:sz w:val="24"/>
                <w:szCs w:val="24"/>
              </w:rPr>
              <w:t>11,000,000</w:t>
            </w:r>
          </w:p>
        </w:tc>
        <w:tc>
          <w:tcPr>
            <w:tcW w:w="1984" w:type="dxa"/>
            <w:vAlign w:val="center"/>
          </w:tcPr>
          <w:p w:rsidR="00A0086C" w:rsidRDefault="00F23D76">
            <w:pPr>
              <w:jc w:val="right"/>
            </w:pPr>
            <w:r>
              <w:rPr>
                <w:color w:val="000000"/>
                <w:kern w:val="0"/>
                <w:sz w:val="24"/>
                <w:szCs w:val="24"/>
              </w:rPr>
              <w:t>303,600,000.00</w:t>
            </w:r>
          </w:p>
        </w:tc>
        <w:tc>
          <w:tcPr>
            <w:tcW w:w="1559" w:type="dxa"/>
            <w:vAlign w:val="center"/>
          </w:tcPr>
          <w:p w:rsidR="00A0086C" w:rsidRDefault="00F23D76">
            <w:pPr>
              <w:jc w:val="right"/>
            </w:pPr>
            <w:r>
              <w:rPr>
                <w:color w:val="000000"/>
                <w:kern w:val="0"/>
                <w:sz w:val="24"/>
                <w:szCs w:val="24"/>
              </w:rPr>
              <w:t>5.92</w:t>
            </w:r>
          </w:p>
        </w:tc>
      </w:tr>
      <w:tr w:rsidR="00A0086C">
        <w:tc>
          <w:tcPr>
            <w:tcW w:w="851" w:type="dxa"/>
            <w:vAlign w:val="center"/>
          </w:tcPr>
          <w:p w:rsidR="00A0086C" w:rsidRDefault="00F23D76">
            <w:pPr>
              <w:jc w:val="center"/>
            </w:pPr>
            <w:r>
              <w:rPr>
                <w:color w:val="000000"/>
                <w:kern w:val="0"/>
                <w:sz w:val="24"/>
                <w:szCs w:val="24"/>
              </w:rPr>
              <w:t>5</w:t>
            </w:r>
          </w:p>
        </w:tc>
        <w:tc>
          <w:tcPr>
            <w:tcW w:w="1276" w:type="dxa"/>
            <w:vAlign w:val="center"/>
          </w:tcPr>
          <w:p w:rsidR="00A0086C" w:rsidRDefault="00F23D76">
            <w:pPr>
              <w:jc w:val="center"/>
            </w:pPr>
            <w:r>
              <w:rPr>
                <w:color w:val="000000"/>
                <w:kern w:val="0"/>
                <w:sz w:val="24"/>
                <w:szCs w:val="24"/>
              </w:rPr>
              <w:t>002400</w:t>
            </w:r>
          </w:p>
        </w:tc>
        <w:tc>
          <w:tcPr>
            <w:tcW w:w="1418" w:type="dxa"/>
            <w:vAlign w:val="center"/>
          </w:tcPr>
          <w:p w:rsidR="00A0086C" w:rsidRDefault="00F23D76">
            <w:pPr>
              <w:jc w:val="center"/>
            </w:pPr>
            <w:r>
              <w:rPr>
                <w:color w:val="000000"/>
                <w:kern w:val="0"/>
                <w:sz w:val="24"/>
                <w:szCs w:val="24"/>
              </w:rPr>
              <w:t>省广股份</w:t>
            </w:r>
          </w:p>
        </w:tc>
        <w:tc>
          <w:tcPr>
            <w:tcW w:w="1701" w:type="dxa"/>
            <w:vAlign w:val="center"/>
          </w:tcPr>
          <w:p w:rsidR="00A0086C" w:rsidRDefault="00F23D76">
            <w:pPr>
              <w:jc w:val="right"/>
            </w:pPr>
            <w:r>
              <w:rPr>
                <w:color w:val="000000"/>
                <w:kern w:val="0"/>
                <w:sz w:val="24"/>
                <w:szCs w:val="24"/>
              </w:rPr>
              <w:t>8,926,414</w:t>
            </w:r>
          </w:p>
        </w:tc>
        <w:tc>
          <w:tcPr>
            <w:tcW w:w="1984" w:type="dxa"/>
            <w:vAlign w:val="center"/>
          </w:tcPr>
          <w:p w:rsidR="00A0086C" w:rsidRDefault="00F23D76">
            <w:pPr>
              <w:jc w:val="right"/>
            </w:pPr>
            <w:r>
              <w:rPr>
                <w:color w:val="000000"/>
                <w:kern w:val="0"/>
                <w:sz w:val="24"/>
                <w:szCs w:val="24"/>
              </w:rPr>
              <w:t>224,410,047.96</w:t>
            </w:r>
          </w:p>
        </w:tc>
        <w:tc>
          <w:tcPr>
            <w:tcW w:w="1559" w:type="dxa"/>
            <w:vAlign w:val="center"/>
          </w:tcPr>
          <w:p w:rsidR="00A0086C" w:rsidRDefault="00F23D76">
            <w:pPr>
              <w:jc w:val="right"/>
            </w:pPr>
            <w:r>
              <w:rPr>
                <w:color w:val="000000"/>
                <w:kern w:val="0"/>
                <w:sz w:val="24"/>
                <w:szCs w:val="24"/>
              </w:rPr>
              <w:t>4.37</w:t>
            </w:r>
          </w:p>
        </w:tc>
      </w:tr>
      <w:tr w:rsidR="00A0086C">
        <w:tc>
          <w:tcPr>
            <w:tcW w:w="851" w:type="dxa"/>
            <w:vAlign w:val="center"/>
          </w:tcPr>
          <w:p w:rsidR="00A0086C" w:rsidRDefault="00F23D76">
            <w:pPr>
              <w:jc w:val="center"/>
            </w:pPr>
            <w:r>
              <w:rPr>
                <w:color w:val="000000"/>
                <w:kern w:val="0"/>
                <w:sz w:val="24"/>
                <w:szCs w:val="24"/>
              </w:rPr>
              <w:t>6</w:t>
            </w:r>
          </w:p>
        </w:tc>
        <w:tc>
          <w:tcPr>
            <w:tcW w:w="1276" w:type="dxa"/>
            <w:vAlign w:val="center"/>
          </w:tcPr>
          <w:p w:rsidR="00A0086C" w:rsidRDefault="00F23D76">
            <w:pPr>
              <w:jc w:val="center"/>
            </w:pPr>
            <w:r>
              <w:rPr>
                <w:color w:val="000000"/>
                <w:kern w:val="0"/>
                <w:sz w:val="24"/>
                <w:szCs w:val="24"/>
              </w:rPr>
              <w:t>002081</w:t>
            </w:r>
          </w:p>
        </w:tc>
        <w:tc>
          <w:tcPr>
            <w:tcW w:w="1418" w:type="dxa"/>
            <w:vAlign w:val="center"/>
          </w:tcPr>
          <w:p w:rsidR="00A0086C" w:rsidRDefault="00F23D76">
            <w:pPr>
              <w:jc w:val="center"/>
            </w:pPr>
            <w:r>
              <w:rPr>
                <w:color w:val="000000"/>
                <w:kern w:val="0"/>
                <w:sz w:val="24"/>
                <w:szCs w:val="24"/>
              </w:rPr>
              <w:t>金</w:t>
            </w:r>
            <w:r>
              <w:rPr>
                <w:color w:val="000000"/>
                <w:kern w:val="0"/>
                <w:sz w:val="24"/>
                <w:szCs w:val="24"/>
              </w:rPr>
              <w:t xml:space="preserve"> </w:t>
            </w:r>
            <w:r>
              <w:rPr>
                <w:color w:val="000000"/>
                <w:kern w:val="0"/>
                <w:sz w:val="24"/>
                <w:szCs w:val="24"/>
              </w:rPr>
              <w:t>螳</w:t>
            </w:r>
            <w:r>
              <w:rPr>
                <w:color w:val="000000"/>
                <w:kern w:val="0"/>
                <w:sz w:val="24"/>
                <w:szCs w:val="24"/>
              </w:rPr>
              <w:t xml:space="preserve"> </w:t>
            </w:r>
            <w:r>
              <w:rPr>
                <w:color w:val="000000"/>
                <w:kern w:val="0"/>
                <w:sz w:val="24"/>
                <w:szCs w:val="24"/>
              </w:rPr>
              <w:t>螂</w:t>
            </w:r>
          </w:p>
        </w:tc>
        <w:tc>
          <w:tcPr>
            <w:tcW w:w="1701" w:type="dxa"/>
            <w:vAlign w:val="center"/>
          </w:tcPr>
          <w:p w:rsidR="00A0086C" w:rsidRDefault="00F23D76">
            <w:pPr>
              <w:jc w:val="right"/>
            </w:pPr>
            <w:r>
              <w:rPr>
                <w:color w:val="000000"/>
                <w:kern w:val="0"/>
                <w:sz w:val="24"/>
                <w:szCs w:val="24"/>
              </w:rPr>
              <w:t>11,000,000</w:t>
            </w:r>
          </w:p>
        </w:tc>
        <w:tc>
          <w:tcPr>
            <w:tcW w:w="1984" w:type="dxa"/>
            <w:vAlign w:val="center"/>
          </w:tcPr>
          <w:p w:rsidR="00A0086C" w:rsidRDefault="00F23D76">
            <w:pPr>
              <w:jc w:val="right"/>
            </w:pPr>
            <w:r>
              <w:rPr>
                <w:color w:val="000000"/>
                <w:kern w:val="0"/>
                <w:sz w:val="24"/>
                <w:szCs w:val="24"/>
              </w:rPr>
              <w:t>213,070,000.00</w:t>
            </w:r>
          </w:p>
        </w:tc>
        <w:tc>
          <w:tcPr>
            <w:tcW w:w="1559" w:type="dxa"/>
            <w:vAlign w:val="center"/>
          </w:tcPr>
          <w:p w:rsidR="00A0086C" w:rsidRDefault="00F23D76">
            <w:pPr>
              <w:jc w:val="right"/>
            </w:pPr>
            <w:r>
              <w:rPr>
                <w:color w:val="000000"/>
                <w:kern w:val="0"/>
                <w:sz w:val="24"/>
                <w:szCs w:val="24"/>
              </w:rPr>
              <w:t>4.15</w:t>
            </w:r>
          </w:p>
        </w:tc>
      </w:tr>
      <w:tr w:rsidR="00A0086C">
        <w:tc>
          <w:tcPr>
            <w:tcW w:w="851" w:type="dxa"/>
            <w:vAlign w:val="center"/>
          </w:tcPr>
          <w:p w:rsidR="00A0086C" w:rsidRDefault="00F23D76">
            <w:pPr>
              <w:jc w:val="center"/>
            </w:pPr>
            <w:r>
              <w:rPr>
                <w:color w:val="000000"/>
                <w:kern w:val="0"/>
                <w:sz w:val="24"/>
                <w:szCs w:val="24"/>
              </w:rPr>
              <w:t>7</w:t>
            </w:r>
          </w:p>
        </w:tc>
        <w:tc>
          <w:tcPr>
            <w:tcW w:w="1276" w:type="dxa"/>
            <w:vAlign w:val="center"/>
          </w:tcPr>
          <w:p w:rsidR="00A0086C" w:rsidRDefault="00F23D76">
            <w:pPr>
              <w:jc w:val="center"/>
            </w:pPr>
            <w:r>
              <w:rPr>
                <w:color w:val="000000"/>
                <w:kern w:val="0"/>
                <w:sz w:val="24"/>
                <w:szCs w:val="24"/>
              </w:rPr>
              <w:t>002375</w:t>
            </w:r>
          </w:p>
        </w:tc>
        <w:tc>
          <w:tcPr>
            <w:tcW w:w="1418" w:type="dxa"/>
            <w:vAlign w:val="center"/>
          </w:tcPr>
          <w:p w:rsidR="00A0086C" w:rsidRDefault="00F23D76">
            <w:pPr>
              <w:jc w:val="center"/>
            </w:pPr>
            <w:r>
              <w:rPr>
                <w:color w:val="000000"/>
                <w:kern w:val="0"/>
                <w:sz w:val="24"/>
                <w:szCs w:val="24"/>
              </w:rPr>
              <w:t>亚厦股份</w:t>
            </w:r>
          </w:p>
        </w:tc>
        <w:tc>
          <w:tcPr>
            <w:tcW w:w="1701" w:type="dxa"/>
            <w:vAlign w:val="center"/>
          </w:tcPr>
          <w:p w:rsidR="00A0086C" w:rsidRDefault="00F23D76">
            <w:pPr>
              <w:jc w:val="right"/>
            </w:pPr>
            <w:r>
              <w:rPr>
                <w:color w:val="000000"/>
                <w:kern w:val="0"/>
                <w:sz w:val="24"/>
                <w:szCs w:val="24"/>
              </w:rPr>
              <w:t>9,285,918</w:t>
            </w:r>
          </w:p>
        </w:tc>
        <w:tc>
          <w:tcPr>
            <w:tcW w:w="1984" w:type="dxa"/>
            <w:vAlign w:val="center"/>
          </w:tcPr>
          <w:p w:rsidR="00A0086C" w:rsidRDefault="00F23D76">
            <w:pPr>
              <w:jc w:val="right"/>
            </w:pPr>
            <w:r>
              <w:rPr>
                <w:color w:val="000000"/>
                <w:kern w:val="0"/>
                <w:sz w:val="24"/>
                <w:szCs w:val="24"/>
              </w:rPr>
              <w:t>200,854,406.34</w:t>
            </w:r>
          </w:p>
        </w:tc>
        <w:tc>
          <w:tcPr>
            <w:tcW w:w="1559" w:type="dxa"/>
            <w:vAlign w:val="center"/>
          </w:tcPr>
          <w:p w:rsidR="00A0086C" w:rsidRDefault="00F23D76">
            <w:pPr>
              <w:jc w:val="right"/>
            </w:pPr>
            <w:r>
              <w:rPr>
                <w:color w:val="000000"/>
                <w:kern w:val="0"/>
                <w:sz w:val="24"/>
                <w:szCs w:val="24"/>
              </w:rPr>
              <w:t>3.91</w:t>
            </w:r>
          </w:p>
        </w:tc>
      </w:tr>
      <w:tr w:rsidR="00A0086C">
        <w:tc>
          <w:tcPr>
            <w:tcW w:w="851" w:type="dxa"/>
            <w:vAlign w:val="center"/>
          </w:tcPr>
          <w:p w:rsidR="00A0086C" w:rsidRDefault="00F23D76">
            <w:pPr>
              <w:jc w:val="center"/>
            </w:pPr>
            <w:r>
              <w:rPr>
                <w:color w:val="000000"/>
                <w:kern w:val="0"/>
                <w:sz w:val="24"/>
                <w:szCs w:val="24"/>
              </w:rPr>
              <w:t>8</w:t>
            </w:r>
          </w:p>
        </w:tc>
        <w:tc>
          <w:tcPr>
            <w:tcW w:w="1276" w:type="dxa"/>
            <w:vAlign w:val="center"/>
          </w:tcPr>
          <w:p w:rsidR="00A0086C" w:rsidRDefault="00F23D76">
            <w:pPr>
              <w:jc w:val="center"/>
            </w:pPr>
            <w:r>
              <w:rPr>
                <w:color w:val="000000"/>
                <w:kern w:val="0"/>
                <w:sz w:val="24"/>
                <w:szCs w:val="24"/>
              </w:rPr>
              <w:t>300147</w:t>
            </w:r>
          </w:p>
        </w:tc>
        <w:tc>
          <w:tcPr>
            <w:tcW w:w="1418" w:type="dxa"/>
            <w:vAlign w:val="center"/>
          </w:tcPr>
          <w:p w:rsidR="00A0086C" w:rsidRDefault="00F23D76">
            <w:pPr>
              <w:jc w:val="center"/>
            </w:pPr>
            <w:r>
              <w:rPr>
                <w:color w:val="000000"/>
                <w:kern w:val="0"/>
                <w:sz w:val="24"/>
                <w:szCs w:val="24"/>
              </w:rPr>
              <w:t>香雪制药</w:t>
            </w:r>
          </w:p>
        </w:tc>
        <w:tc>
          <w:tcPr>
            <w:tcW w:w="1701" w:type="dxa"/>
            <w:vAlign w:val="center"/>
          </w:tcPr>
          <w:p w:rsidR="00A0086C" w:rsidRDefault="00F23D76">
            <w:pPr>
              <w:jc w:val="right"/>
            </w:pPr>
            <w:r>
              <w:rPr>
                <w:color w:val="000000"/>
                <w:kern w:val="0"/>
                <w:sz w:val="24"/>
                <w:szCs w:val="24"/>
              </w:rPr>
              <w:t>8,000,000</w:t>
            </w:r>
          </w:p>
        </w:tc>
        <w:tc>
          <w:tcPr>
            <w:tcW w:w="1984" w:type="dxa"/>
            <w:vAlign w:val="center"/>
          </w:tcPr>
          <w:p w:rsidR="00A0086C" w:rsidRDefault="00F23D76">
            <w:pPr>
              <w:jc w:val="right"/>
            </w:pPr>
            <w:r>
              <w:rPr>
                <w:color w:val="000000"/>
                <w:kern w:val="0"/>
                <w:sz w:val="24"/>
                <w:szCs w:val="24"/>
              </w:rPr>
              <w:t>181,520,000.00</w:t>
            </w:r>
          </w:p>
        </w:tc>
        <w:tc>
          <w:tcPr>
            <w:tcW w:w="1559" w:type="dxa"/>
            <w:vAlign w:val="center"/>
          </w:tcPr>
          <w:p w:rsidR="00A0086C" w:rsidRDefault="00F23D76">
            <w:pPr>
              <w:jc w:val="right"/>
            </w:pPr>
            <w:r>
              <w:rPr>
                <w:color w:val="000000"/>
                <w:kern w:val="0"/>
                <w:sz w:val="24"/>
                <w:szCs w:val="24"/>
              </w:rPr>
              <w:t>3.54</w:t>
            </w:r>
          </w:p>
        </w:tc>
      </w:tr>
      <w:tr w:rsidR="00A0086C">
        <w:tc>
          <w:tcPr>
            <w:tcW w:w="851" w:type="dxa"/>
            <w:vAlign w:val="center"/>
          </w:tcPr>
          <w:p w:rsidR="00A0086C" w:rsidRDefault="00F23D76">
            <w:pPr>
              <w:jc w:val="center"/>
            </w:pPr>
            <w:r>
              <w:rPr>
                <w:color w:val="000000"/>
                <w:kern w:val="0"/>
                <w:sz w:val="24"/>
                <w:szCs w:val="24"/>
              </w:rPr>
              <w:t>9</w:t>
            </w:r>
          </w:p>
        </w:tc>
        <w:tc>
          <w:tcPr>
            <w:tcW w:w="1276" w:type="dxa"/>
            <w:vAlign w:val="center"/>
          </w:tcPr>
          <w:p w:rsidR="00A0086C" w:rsidRDefault="00F23D76">
            <w:pPr>
              <w:jc w:val="center"/>
            </w:pPr>
            <w:r>
              <w:rPr>
                <w:color w:val="000000"/>
                <w:kern w:val="0"/>
                <w:sz w:val="24"/>
                <w:szCs w:val="24"/>
              </w:rPr>
              <w:t>300182</w:t>
            </w:r>
          </w:p>
        </w:tc>
        <w:tc>
          <w:tcPr>
            <w:tcW w:w="1418" w:type="dxa"/>
            <w:vAlign w:val="center"/>
          </w:tcPr>
          <w:p w:rsidR="00A0086C" w:rsidRDefault="00F23D76">
            <w:pPr>
              <w:jc w:val="center"/>
            </w:pPr>
            <w:r>
              <w:rPr>
                <w:color w:val="000000"/>
                <w:kern w:val="0"/>
                <w:sz w:val="24"/>
                <w:szCs w:val="24"/>
              </w:rPr>
              <w:t>捷成股份</w:t>
            </w:r>
          </w:p>
        </w:tc>
        <w:tc>
          <w:tcPr>
            <w:tcW w:w="1701" w:type="dxa"/>
            <w:vAlign w:val="center"/>
          </w:tcPr>
          <w:p w:rsidR="00A0086C" w:rsidRDefault="00F23D76">
            <w:pPr>
              <w:jc w:val="right"/>
            </w:pPr>
            <w:r>
              <w:rPr>
                <w:color w:val="000000"/>
                <w:kern w:val="0"/>
                <w:sz w:val="24"/>
                <w:szCs w:val="24"/>
              </w:rPr>
              <w:t>6,999,971</w:t>
            </w:r>
          </w:p>
        </w:tc>
        <w:tc>
          <w:tcPr>
            <w:tcW w:w="1984" w:type="dxa"/>
            <w:vAlign w:val="center"/>
          </w:tcPr>
          <w:p w:rsidR="00A0086C" w:rsidRDefault="00F23D76">
            <w:pPr>
              <w:jc w:val="right"/>
            </w:pPr>
            <w:r>
              <w:rPr>
                <w:color w:val="000000"/>
                <w:kern w:val="0"/>
                <w:sz w:val="24"/>
                <w:szCs w:val="24"/>
              </w:rPr>
              <w:t>177,519,264.56</w:t>
            </w:r>
          </w:p>
        </w:tc>
        <w:tc>
          <w:tcPr>
            <w:tcW w:w="1559" w:type="dxa"/>
            <w:vAlign w:val="center"/>
          </w:tcPr>
          <w:p w:rsidR="00A0086C" w:rsidRDefault="00F23D76">
            <w:pPr>
              <w:jc w:val="right"/>
            </w:pPr>
            <w:r>
              <w:rPr>
                <w:color w:val="000000"/>
                <w:kern w:val="0"/>
                <w:sz w:val="24"/>
                <w:szCs w:val="24"/>
              </w:rPr>
              <w:t>3.46</w:t>
            </w:r>
          </w:p>
        </w:tc>
      </w:tr>
      <w:tr w:rsidR="00A0086C">
        <w:tc>
          <w:tcPr>
            <w:tcW w:w="851" w:type="dxa"/>
            <w:vAlign w:val="center"/>
          </w:tcPr>
          <w:p w:rsidR="00A0086C" w:rsidRDefault="00F23D76">
            <w:pPr>
              <w:jc w:val="center"/>
            </w:pPr>
            <w:r>
              <w:rPr>
                <w:color w:val="000000"/>
                <w:kern w:val="0"/>
                <w:sz w:val="24"/>
                <w:szCs w:val="24"/>
              </w:rPr>
              <w:t>10</w:t>
            </w:r>
          </w:p>
        </w:tc>
        <w:tc>
          <w:tcPr>
            <w:tcW w:w="1276" w:type="dxa"/>
            <w:vAlign w:val="center"/>
          </w:tcPr>
          <w:p w:rsidR="00A0086C" w:rsidRDefault="00F23D76">
            <w:pPr>
              <w:jc w:val="center"/>
            </w:pPr>
            <w:r>
              <w:rPr>
                <w:color w:val="000000"/>
                <w:kern w:val="0"/>
                <w:sz w:val="24"/>
                <w:szCs w:val="24"/>
              </w:rPr>
              <w:t>600572</w:t>
            </w:r>
          </w:p>
        </w:tc>
        <w:tc>
          <w:tcPr>
            <w:tcW w:w="1418" w:type="dxa"/>
            <w:vAlign w:val="center"/>
          </w:tcPr>
          <w:p w:rsidR="00A0086C" w:rsidRDefault="00F23D76">
            <w:pPr>
              <w:jc w:val="center"/>
            </w:pPr>
            <w:r>
              <w:rPr>
                <w:color w:val="000000"/>
                <w:kern w:val="0"/>
                <w:sz w:val="24"/>
                <w:szCs w:val="24"/>
              </w:rPr>
              <w:t>康恩贝</w:t>
            </w:r>
          </w:p>
        </w:tc>
        <w:tc>
          <w:tcPr>
            <w:tcW w:w="1701" w:type="dxa"/>
            <w:vAlign w:val="center"/>
          </w:tcPr>
          <w:p w:rsidR="00A0086C" w:rsidRDefault="00F23D76">
            <w:pPr>
              <w:jc w:val="right"/>
            </w:pPr>
            <w:r>
              <w:rPr>
                <w:color w:val="000000"/>
                <w:kern w:val="0"/>
                <w:sz w:val="24"/>
                <w:szCs w:val="24"/>
              </w:rPr>
              <w:t>10,000,000</w:t>
            </w:r>
          </w:p>
        </w:tc>
        <w:tc>
          <w:tcPr>
            <w:tcW w:w="1984" w:type="dxa"/>
            <w:vAlign w:val="center"/>
          </w:tcPr>
          <w:p w:rsidR="00A0086C" w:rsidRDefault="00F23D76">
            <w:pPr>
              <w:jc w:val="right"/>
            </w:pPr>
            <w:r>
              <w:rPr>
                <w:color w:val="000000"/>
                <w:kern w:val="0"/>
                <w:sz w:val="24"/>
                <w:szCs w:val="24"/>
              </w:rPr>
              <w:t>169,500,000.00</w:t>
            </w:r>
          </w:p>
        </w:tc>
        <w:tc>
          <w:tcPr>
            <w:tcW w:w="1559" w:type="dxa"/>
            <w:vAlign w:val="center"/>
          </w:tcPr>
          <w:p w:rsidR="00A0086C" w:rsidRDefault="00F23D76">
            <w:pPr>
              <w:jc w:val="right"/>
            </w:pPr>
            <w:r>
              <w:rPr>
                <w:color w:val="000000"/>
                <w:kern w:val="0"/>
                <w:sz w:val="24"/>
                <w:szCs w:val="24"/>
              </w:rPr>
              <w:t>3.30</w:t>
            </w:r>
          </w:p>
        </w:tc>
      </w:tr>
    </w:tbl>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260"/>
        <w:gridCol w:w="2949"/>
        <w:gridCol w:w="1729"/>
      </w:tblGrid>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序号</w:t>
            </w:r>
          </w:p>
        </w:tc>
        <w:tc>
          <w:tcPr>
            <w:tcW w:w="3260"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债券品种</w:t>
            </w:r>
          </w:p>
        </w:tc>
        <w:tc>
          <w:tcPr>
            <w:tcW w:w="2949"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公允价值</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元</w:t>
            </w:r>
            <w:r w:rsidR="005F7917">
              <w:rPr>
                <w:rFonts w:ascii="宋体" w:hAnsi="宋体" w:cs="宋体" w:hint="eastAsia"/>
                <w:color w:val="000000"/>
                <w:kern w:val="0"/>
                <w:sz w:val="24"/>
                <w:szCs w:val="24"/>
              </w:rPr>
              <w:t>）</w:t>
            </w:r>
          </w:p>
        </w:tc>
        <w:tc>
          <w:tcPr>
            <w:tcW w:w="1729"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占基金资产净值比例</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w:t>
            </w:r>
            <w:r w:rsidR="005F7917">
              <w:rPr>
                <w:rFonts w:ascii="宋体" w:hAnsi="宋体" w:cs="宋体" w:hint="eastAsia"/>
                <w:color w:val="000000"/>
                <w:kern w:val="0"/>
                <w:sz w:val="24"/>
                <w:szCs w:val="24"/>
              </w:rPr>
              <w:t>）</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1</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国家债券</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30,087,000.00</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0.59</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2</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央行票据</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3</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金融债券</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其中：政策性金融债</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4</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企业债券</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5</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企业短期融资券</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6</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中期票据</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7</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可转债</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21,395,760.00</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0.42</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8</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其他</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w:t>
            </w:r>
          </w:p>
        </w:tc>
      </w:tr>
      <w:tr w:rsidR="00750D48" w:rsidRPr="00264E55" w:rsidTr="00B05049">
        <w:trPr>
          <w:jc w:val="center"/>
        </w:trPr>
        <w:tc>
          <w:tcPr>
            <w:tcW w:w="817" w:type="dxa"/>
            <w:vAlign w:val="center"/>
          </w:tcPr>
          <w:p w:rsidR="00750D48" w:rsidRPr="00B05049" w:rsidRDefault="00750D48" w:rsidP="00B05049">
            <w:pPr>
              <w:spacing w:before="29" w:line="360" w:lineRule="auto"/>
              <w:ind w:left="17"/>
              <w:jc w:val="center"/>
              <w:rPr>
                <w:rFonts w:ascii="宋体" w:hAnsi="宋体" w:cs="宋体"/>
                <w:color w:val="000000"/>
                <w:kern w:val="0"/>
                <w:sz w:val="24"/>
                <w:szCs w:val="24"/>
              </w:rPr>
            </w:pPr>
            <w:r w:rsidRPr="00B05049">
              <w:rPr>
                <w:rFonts w:ascii="宋体" w:hAnsi="宋体" w:cs="宋体"/>
                <w:color w:val="000000"/>
                <w:kern w:val="0"/>
                <w:sz w:val="24"/>
                <w:szCs w:val="24"/>
              </w:rPr>
              <w:t>9</w:t>
            </w:r>
          </w:p>
        </w:tc>
        <w:tc>
          <w:tcPr>
            <w:tcW w:w="3260" w:type="dxa"/>
            <w:vAlign w:val="center"/>
          </w:tcPr>
          <w:p w:rsidR="00750D48" w:rsidRPr="00B05049" w:rsidRDefault="00750D48" w:rsidP="00B05049">
            <w:pPr>
              <w:spacing w:before="29" w:line="360" w:lineRule="auto"/>
              <w:ind w:left="17"/>
              <w:jc w:val="left"/>
              <w:rPr>
                <w:rFonts w:ascii="宋体" w:cs="宋体"/>
                <w:color w:val="000000"/>
                <w:kern w:val="0"/>
                <w:sz w:val="24"/>
                <w:szCs w:val="24"/>
              </w:rPr>
            </w:pPr>
            <w:r w:rsidRPr="00B05049">
              <w:rPr>
                <w:rFonts w:ascii="宋体" w:hAnsi="宋体" w:cs="宋体" w:hint="eastAsia"/>
                <w:color w:val="000000"/>
                <w:kern w:val="0"/>
                <w:sz w:val="24"/>
                <w:szCs w:val="24"/>
              </w:rPr>
              <w:t>合计</w:t>
            </w:r>
          </w:p>
        </w:tc>
        <w:tc>
          <w:tcPr>
            <w:tcW w:w="294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51,482,760.00</w:t>
            </w:r>
          </w:p>
        </w:tc>
        <w:tc>
          <w:tcPr>
            <w:tcW w:w="1729" w:type="dxa"/>
            <w:vAlign w:val="center"/>
          </w:tcPr>
          <w:p w:rsidR="00750D48" w:rsidRPr="00B05049" w:rsidRDefault="00750D48" w:rsidP="00B05049">
            <w:pPr>
              <w:spacing w:before="29" w:line="360" w:lineRule="auto"/>
              <w:ind w:left="17"/>
              <w:jc w:val="right"/>
              <w:rPr>
                <w:rFonts w:ascii="宋体" w:hAnsi="宋体" w:cs="宋体"/>
                <w:color w:val="000000"/>
                <w:kern w:val="0"/>
                <w:sz w:val="24"/>
                <w:szCs w:val="24"/>
              </w:rPr>
            </w:pPr>
            <w:r w:rsidRPr="00B05049">
              <w:rPr>
                <w:rFonts w:ascii="宋体" w:hAnsi="宋体" w:cs="宋体"/>
                <w:color w:val="000000"/>
                <w:kern w:val="0"/>
                <w:sz w:val="24"/>
                <w:szCs w:val="24"/>
              </w:rPr>
              <w:t>1.00</w:t>
            </w:r>
          </w:p>
        </w:tc>
      </w:tr>
    </w:tbl>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1275"/>
        <w:gridCol w:w="1560"/>
        <w:gridCol w:w="1984"/>
        <w:gridCol w:w="1474"/>
      </w:tblGrid>
      <w:tr w:rsidR="00750D48" w:rsidRPr="00264E55" w:rsidTr="005602F3">
        <w:tc>
          <w:tcPr>
            <w:tcW w:w="959"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序号</w:t>
            </w:r>
          </w:p>
        </w:tc>
        <w:tc>
          <w:tcPr>
            <w:tcW w:w="1276"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债券代码</w:t>
            </w:r>
          </w:p>
        </w:tc>
        <w:tc>
          <w:tcPr>
            <w:tcW w:w="1275"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债券名称</w:t>
            </w:r>
          </w:p>
        </w:tc>
        <w:tc>
          <w:tcPr>
            <w:tcW w:w="1560"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数量</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张</w:t>
            </w:r>
            <w:r w:rsidR="005F7917">
              <w:rPr>
                <w:rFonts w:ascii="宋体" w:hAnsi="宋体" w:cs="宋体" w:hint="eastAsia"/>
                <w:color w:val="000000"/>
                <w:kern w:val="0"/>
                <w:sz w:val="24"/>
                <w:szCs w:val="24"/>
              </w:rPr>
              <w:t>）</w:t>
            </w:r>
          </w:p>
        </w:tc>
        <w:tc>
          <w:tcPr>
            <w:tcW w:w="1984"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公允价值</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元</w:t>
            </w:r>
            <w:r w:rsidR="005F7917">
              <w:rPr>
                <w:rFonts w:ascii="宋体" w:hAnsi="宋体" w:cs="宋体" w:hint="eastAsia"/>
                <w:color w:val="000000"/>
                <w:kern w:val="0"/>
                <w:sz w:val="24"/>
                <w:szCs w:val="24"/>
              </w:rPr>
              <w:t>）</w:t>
            </w:r>
          </w:p>
        </w:tc>
        <w:tc>
          <w:tcPr>
            <w:tcW w:w="1474"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占基金资产净值比例</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w:t>
            </w:r>
            <w:r w:rsidR="005F7917">
              <w:rPr>
                <w:rFonts w:ascii="宋体" w:hAnsi="宋体" w:cs="宋体" w:hint="eastAsia"/>
                <w:color w:val="000000"/>
                <w:kern w:val="0"/>
                <w:sz w:val="24"/>
                <w:szCs w:val="24"/>
              </w:rPr>
              <w:t>）</w:t>
            </w:r>
          </w:p>
        </w:tc>
      </w:tr>
      <w:tr w:rsidR="00A0086C">
        <w:tc>
          <w:tcPr>
            <w:tcW w:w="959" w:type="dxa"/>
            <w:vAlign w:val="center"/>
          </w:tcPr>
          <w:p w:rsidR="00A0086C" w:rsidRDefault="00F23D76">
            <w:pPr>
              <w:jc w:val="center"/>
            </w:pPr>
            <w:r>
              <w:rPr>
                <w:color w:val="000000"/>
                <w:kern w:val="0"/>
                <w:sz w:val="24"/>
                <w:szCs w:val="24"/>
              </w:rPr>
              <w:t>1</w:t>
            </w:r>
          </w:p>
        </w:tc>
        <w:tc>
          <w:tcPr>
            <w:tcW w:w="1276" w:type="dxa"/>
            <w:vAlign w:val="center"/>
          </w:tcPr>
          <w:p w:rsidR="00A0086C" w:rsidRDefault="00F23D76">
            <w:pPr>
              <w:jc w:val="center"/>
            </w:pPr>
            <w:r>
              <w:rPr>
                <w:color w:val="000000"/>
                <w:kern w:val="0"/>
                <w:sz w:val="24"/>
                <w:szCs w:val="24"/>
              </w:rPr>
              <w:t>019322</w:t>
            </w:r>
          </w:p>
        </w:tc>
        <w:tc>
          <w:tcPr>
            <w:tcW w:w="1275" w:type="dxa"/>
            <w:vAlign w:val="center"/>
          </w:tcPr>
          <w:p w:rsidR="00A0086C" w:rsidRDefault="00F23D76">
            <w:pPr>
              <w:jc w:val="center"/>
            </w:pPr>
            <w:r>
              <w:rPr>
                <w:color w:val="000000"/>
                <w:kern w:val="0"/>
                <w:sz w:val="24"/>
                <w:szCs w:val="24"/>
              </w:rPr>
              <w:t>13</w:t>
            </w:r>
            <w:r>
              <w:rPr>
                <w:color w:val="000000"/>
                <w:kern w:val="0"/>
                <w:sz w:val="24"/>
                <w:szCs w:val="24"/>
              </w:rPr>
              <w:t>国债</w:t>
            </w:r>
            <w:r>
              <w:rPr>
                <w:color w:val="000000"/>
                <w:kern w:val="0"/>
                <w:sz w:val="24"/>
                <w:szCs w:val="24"/>
              </w:rPr>
              <w:t>22</w:t>
            </w:r>
          </w:p>
        </w:tc>
        <w:tc>
          <w:tcPr>
            <w:tcW w:w="1560" w:type="dxa"/>
            <w:vAlign w:val="center"/>
          </w:tcPr>
          <w:p w:rsidR="00A0086C" w:rsidRDefault="00F23D76">
            <w:pPr>
              <w:jc w:val="right"/>
            </w:pPr>
            <w:r>
              <w:rPr>
                <w:color w:val="000000"/>
                <w:kern w:val="0"/>
                <w:sz w:val="24"/>
                <w:szCs w:val="24"/>
              </w:rPr>
              <w:t>300,000</w:t>
            </w:r>
          </w:p>
        </w:tc>
        <w:tc>
          <w:tcPr>
            <w:tcW w:w="1984" w:type="dxa"/>
            <w:vAlign w:val="center"/>
          </w:tcPr>
          <w:p w:rsidR="00A0086C" w:rsidRDefault="00F23D76">
            <w:pPr>
              <w:jc w:val="right"/>
            </w:pPr>
            <w:r>
              <w:rPr>
                <w:color w:val="000000"/>
                <w:kern w:val="0"/>
                <w:sz w:val="24"/>
                <w:szCs w:val="24"/>
              </w:rPr>
              <w:t>30,087,000.00</w:t>
            </w:r>
          </w:p>
        </w:tc>
        <w:tc>
          <w:tcPr>
            <w:tcW w:w="1474" w:type="dxa"/>
            <w:vAlign w:val="center"/>
          </w:tcPr>
          <w:p w:rsidR="00A0086C" w:rsidRDefault="00F23D76">
            <w:pPr>
              <w:jc w:val="right"/>
            </w:pPr>
            <w:r>
              <w:rPr>
                <w:color w:val="000000"/>
                <w:kern w:val="0"/>
                <w:sz w:val="24"/>
                <w:szCs w:val="24"/>
              </w:rPr>
              <w:t>0.59</w:t>
            </w:r>
          </w:p>
        </w:tc>
      </w:tr>
      <w:tr w:rsidR="00A0086C">
        <w:tc>
          <w:tcPr>
            <w:tcW w:w="959" w:type="dxa"/>
            <w:vAlign w:val="center"/>
          </w:tcPr>
          <w:p w:rsidR="00A0086C" w:rsidRDefault="00F23D76">
            <w:pPr>
              <w:jc w:val="center"/>
            </w:pPr>
            <w:r>
              <w:rPr>
                <w:color w:val="000000"/>
                <w:kern w:val="0"/>
                <w:sz w:val="24"/>
                <w:szCs w:val="24"/>
              </w:rPr>
              <w:t>2</w:t>
            </w:r>
          </w:p>
        </w:tc>
        <w:tc>
          <w:tcPr>
            <w:tcW w:w="1276" w:type="dxa"/>
            <w:vAlign w:val="center"/>
          </w:tcPr>
          <w:p w:rsidR="00A0086C" w:rsidRDefault="00F23D76">
            <w:pPr>
              <w:jc w:val="center"/>
            </w:pPr>
            <w:r>
              <w:rPr>
                <w:color w:val="000000"/>
                <w:kern w:val="0"/>
                <w:sz w:val="24"/>
                <w:szCs w:val="24"/>
              </w:rPr>
              <w:t>110028</w:t>
            </w:r>
          </w:p>
        </w:tc>
        <w:tc>
          <w:tcPr>
            <w:tcW w:w="1275" w:type="dxa"/>
            <w:vAlign w:val="center"/>
          </w:tcPr>
          <w:p w:rsidR="00A0086C" w:rsidRDefault="00F23D76">
            <w:pPr>
              <w:jc w:val="center"/>
            </w:pPr>
            <w:r>
              <w:rPr>
                <w:color w:val="000000"/>
                <w:kern w:val="0"/>
                <w:sz w:val="24"/>
                <w:szCs w:val="24"/>
              </w:rPr>
              <w:t>冠城转债</w:t>
            </w:r>
          </w:p>
        </w:tc>
        <w:tc>
          <w:tcPr>
            <w:tcW w:w="1560" w:type="dxa"/>
            <w:vAlign w:val="center"/>
          </w:tcPr>
          <w:p w:rsidR="00A0086C" w:rsidRDefault="00F23D76">
            <w:pPr>
              <w:jc w:val="right"/>
            </w:pPr>
            <w:r>
              <w:rPr>
                <w:color w:val="000000"/>
                <w:kern w:val="0"/>
                <w:sz w:val="24"/>
                <w:szCs w:val="24"/>
              </w:rPr>
              <w:t>181,320</w:t>
            </w:r>
          </w:p>
        </w:tc>
        <w:tc>
          <w:tcPr>
            <w:tcW w:w="1984" w:type="dxa"/>
            <w:vAlign w:val="center"/>
          </w:tcPr>
          <w:p w:rsidR="00A0086C" w:rsidRDefault="00F23D76">
            <w:pPr>
              <w:jc w:val="right"/>
            </w:pPr>
            <w:r>
              <w:rPr>
                <w:color w:val="000000"/>
                <w:kern w:val="0"/>
                <w:sz w:val="24"/>
                <w:szCs w:val="24"/>
              </w:rPr>
              <w:t>21,395,760.00</w:t>
            </w:r>
          </w:p>
        </w:tc>
        <w:tc>
          <w:tcPr>
            <w:tcW w:w="1474" w:type="dxa"/>
            <w:vAlign w:val="center"/>
          </w:tcPr>
          <w:p w:rsidR="00A0086C" w:rsidRDefault="00F23D76">
            <w:pPr>
              <w:jc w:val="right"/>
            </w:pPr>
            <w:r>
              <w:rPr>
                <w:color w:val="000000"/>
                <w:kern w:val="0"/>
                <w:sz w:val="24"/>
                <w:szCs w:val="24"/>
              </w:rPr>
              <w:t>0.42</w:t>
            </w:r>
          </w:p>
        </w:tc>
      </w:tr>
    </w:tbl>
    <w:p w:rsidR="00750D48" w:rsidRPr="001B0A62" w:rsidRDefault="00750D48" w:rsidP="004061AC">
      <w:pPr>
        <w:autoSpaceDE w:val="0"/>
        <w:autoSpaceDN w:val="0"/>
        <w:adjustRightInd w:val="0"/>
        <w:spacing w:line="360" w:lineRule="auto"/>
        <w:jc w:val="left"/>
        <w:rPr>
          <w:rFonts w:ascii="宋体"/>
          <w:b/>
          <w:bCs/>
          <w:color w:val="000000"/>
          <w:kern w:val="0"/>
          <w:sz w:val="24"/>
          <w:szCs w:val="24"/>
        </w:rPr>
      </w:pP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lastRenderedPageBreak/>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Default="00750D48" w:rsidP="00C5642F">
      <w:pPr>
        <w:autoSpaceDE w:val="0"/>
        <w:autoSpaceDN w:val="0"/>
        <w:adjustRightInd w:val="0"/>
        <w:spacing w:line="360" w:lineRule="auto"/>
        <w:jc w:val="left"/>
        <w:rPr>
          <w:rFonts w:ascii="宋体"/>
          <w:color w:val="000000"/>
          <w:sz w:val="24"/>
          <w:szCs w:val="24"/>
        </w:rPr>
      </w:pPr>
      <w:r w:rsidRPr="00264E55">
        <w:rPr>
          <w:rFonts w:ascii="宋体" w:hAnsi="宋体"/>
          <w:color w:val="000000"/>
          <w:sz w:val="24"/>
          <w:szCs w:val="24"/>
        </w:rPr>
        <w:t>本基金本报告期末未持有资产支持证券。</w:t>
      </w:r>
    </w:p>
    <w:p w:rsidR="00750D48" w:rsidRDefault="00750D48" w:rsidP="001D63BB">
      <w:pPr>
        <w:autoSpaceDE w:val="0"/>
        <w:autoSpaceDN w:val="0"/>
        <w:adjustRightInd w:val="0"/>
        <w:spacing w:line="360" w:lineRule="auto"/>
        <w:jc w:val="left"/>
        <w:rPr>
          <w:rFonts w:ascii="宋体"/>
          <w:color w:val="000000"/>
          <w:sz w:val="24"/>
          <w:szCs w:val="24"/>
        </w:rPr>
      </w:pP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1C7E00" w:rsidRDefault="00750D48" w:rsidP="001D63BB">
      <w:pPr>
        <w:widowControl/>
        <w:spacing w:line="360" w:lineRule="auto"/>
        <w:jc w:val="left"/>
        <w:rPr>
          <w:rFonts w:ascii="宋体"/>
          <w:sz w:val="24"/>
          <w:szCs w:val="24"/>
        </w:rPr>
      </w:pPr>
      <w:r w:rsidRPr="001C7E00">
        <w:rPr>
          <w:rFonts w:ascii="宋体"/>
          <w:sz w:val="24"/>
          <w:szCs w:val="24"/>
        </w:rPr>
        <w:t>本基金本报告期末未持有贵金属。</w:t>
      </w:r>
    </w:p>
    <w:p w:rsidR="00750D48" w:rsidRPr="001D63BB"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64E55" w:rsidRDefault="00750D48" w:rsidP="00C5642F">
      <w:pPr>
        <w:autoSpaceDE w:val="0"/>
        <w:autoSpaceDN w:val="0"/>
        <w:adjustRightInd w:val="0"/>
        <w:spacing w:line="360" w:lineRule="auto"/>
        <w:jc w:val="left"/>
        <w:rPr>
          <w:rFonts w:ascii="宋体" w:hAnsi="宋体"/>
          <w:color w:val="000000"/>
          <w:sz w:val="24"/>
          <w:szCs w:val="24"/>
        </w:rPr>
      </w:pPr>
      <w:r w:rsidRPr="00264E55">
        <w:rPr>
          <w:rFonts w:ascii="宋体" w:hAnsi="宋体"/>
          <w:color w:val="000000"/>
          <w:sz w:val="24"/>
          <w:szCs w:val="24"/>
        </w:rPr>
        <w:t>本基金本报告期末未持有权证。</w:t>
      </w: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 xml:space="preserve">5.9.1 </w:t>
      </w:r>
      <w:r w:rsidRPr="001B0A62">
        <w:rPr>
          <w:rFonts w:ascii="宋体" w:hAnsi="宋体" w:hint="eastAsia"/>
          <w:b/>
          <w:bCs/>
          <w:color w:val="000000"/>
          <w:kern w:val="0"/>
          <w:sz w:val="24"/>
          <w:szCs w:val="24"/>
        </w:rPr>
        <w:t>报告期末本基金投资的股指期货持仓和损益明细</w:t>
      </w:r>
    </w:p>
    <w:p w:rsidR="00750D48" w:rsidRPr="00264E55" w:rsidRDefault="00750D48" w:rsidP="00C5642F">
      <w:pPr>
        <w:autoSpaceDE w:val="0"/>
        <w:autoSpaceDN w:val="0"/>
        <w:adjustRightInd w:val="0"/>
        <w:spacing w:line="360" w:lineRule="auto"/>
        <w:jc w:val="left"/>
        <w:rPr>
          <w:rFonts w:ascii="宋体" w:hAnsi="宋体"/>
          <w:color w:val="000000"/>
          <w:sz w:val="24"/>
          <w:szCs w:val="24"/>
        </w:rPr>
      </w:pPr>
      <w:r w:rsidRPr="00264E55">
        <w:rPr>
          <w:rFonts w:ascii="宋体" w:hAnsi="宋体"/>
          <w:color w:val="000000"/>
          <w:sz w:val="24"/>
          <w:szCs w:val="24"/>
        </w:rPr>
        <w:t>本基金本报告期末未持有股指期货。</w:t>
      </w:r>
    </w:p>
    <w:p w:rsidR="00750D48" w:rsidRPr="00264E55" w:rsidRDefault="00750D48" w:rsidP="00275745">
      <w:pPr>
        <w:adjustRightInd w:val="0"/>
        <w:snapToGrid w:val="0"/>
        <w:spacing w:line="360" w:lineRule="exact"/>
        <w:rPr>
          <w:rFonts w:ascii="宋体"/>
          <w:sz w:val="24"/>
          <w:szCs w:val="24"/>
        </w:rPr>
      </w:pP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 xml:space="preserve">5.9.2 </w:t>
      </w:r>
      <w:r w:rsidRPr="001B0A62">
        <w:rPr>
          <w:rFonts w:ascii="宋体" w:hAnsi="宋体" w:hint="eastAsia"/>
          <w:b/>
          <w:bCs/>
          <w:color w:val="000000"/>
          <w:kern w:val="0"/>
          <w:sz w:val="24"/>
          <w:szCs w:val="24"/>
        </w:rPr>
        <w:t>本基金投资股指期货的投资政策</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本基金本报告期未投资股指期货。若本基金投资股指期货，本基金将根据风险管理的原则，以套期保值为主要目的，有选择地投资于股指期货。套期保值将主要采用流动性好、交易活跃的期货合约。</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本基金在进行股指期货投资时，将通过对证券市场和期货市场运行趋势的研究，并结合股指期货的定价模型寻求其合理的估值水平。</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本基金管理人将充分考虑股指期货的收益性、流动性及风险特征，通过资产配置、品种选择，谨慎进行投资，以降低投资组合的整体风险。</w:t>
      </w:r>
    </w:p>
    <w:p w:rsidR="00750D48" w:rsidRPr="00264E55"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t>法律法规对于基金投资股指期货的投资策略另有规定的，本基金将按法律法规的规定执行。</w:t>
      </w: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750D48" w:rsidRPr="001C7E00" w:rsidRDefault="00750D48" w:rsidP="00EB572F">
      <w:pPr>
        <w:spacing w:line="360" w:lineRule="auto"/>
        <w:ind w:firstLineChars="200" w:firstLine="480"/>
        <w:rPr>
          <w:rFonts w:ascii="宋体" w:hAnsi="宋体"/>
          <w:color w:val="000000"/>
          <w:sz w:val="24"/>
          <w:szCs w:val="24"/>
        </w:rPr>
      </w:pPr>
      <w:r w:rsidRPr="001C7E00">
        <w:rPr>
          <w:rFonts w:ascii="宋体" w:hAnsi="宋体"/>
          <w:color w:val="000000"/>
          <w:sz w:val="24"/>
          <w:szCs w:val="24"/>
        </w:rPr>
        <w:t>根据本基金基金合同，本基金不能投资于国债期货。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5.11.1本报告期内基金投资的前十名证券的发行主体没有被监管部门立案调查</w:t>
      </w:r>
      <w:r w:rsidRPr="00264E55">
        <w:rPr>
          <w:rFonts w:ascii="宋体" w:hAnsi="宋体"/>
          <w:color w:val="000000"/>
          <w:sz w:val="24"/>
          <w:szCs w:val="24"/>
        </w:rPr>
        <w:lastRenderedPageBreak/>
        <w:t xml:space="preserve">或在报告编制日前一年受到公开谴责、处罚的情况。 </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5.11.2基金投资的前十名股票中，没有投资于超出基金合同规定备选股票库之外的情况。</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5"/>
        <w:gridCol w:w="2470"/>
        <w:gridCol w:w="4808"/>
      </w:tblGrid>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7"/>
              <w:jc w:val="center"/>
              <w:rPr>
                <w:rFonts w:ascii="宋体"/>
                <w:color w:val="000000"/>
                <w:kern w:val="0"/>
                <w:sz w:val="24"/>
                <w:szCs w:val="24"/>
              </w:rPr>
            </w:pPr>
            <w:r w:rsidRPr="00B05049">
              <w:rPr>
                <w:rFonts w:ascii="宋体" w:hAnsi="宋体" w:cs="宋体" w:hint="eastAsia"/>
                <w:color w:val="000000"/>
                <w:kern w:val="0"/>
                <w:sz w:val="24"/>
                <w:szCs w:val="24"/>
              </w:rPr>
              <w:t>序号</w:t>
            </w:r>
          </w:p>
        </w:tc>
        <w:tc>
          <w:tcPr>
            <w:tcW w:w="2470" w:type="dxa"/>
            <w:vAlign w:val="center"/>
          </w:tcPr>
          <w:p w:rsidR="00750D48" w:rsidRPr="00B05049" w:rsidRDefault="00750D48" w:rsidP="00B05049">
            <w:pPr>
              <w:autoSpaceDE w:val="0"/>
              <w:autoSpaceDN w:val="0"/>
              <w:adjustRightInd w:val="0"/>
              <w:spacing w:before="29" w:line="360" w:lineRule="auto"/>
              <w:ind w:left="17"/>
              <w:jc w:val="center"/>
              <w:rPr>
                <w:rFonts w:ascii="宋体"/>
                <w:color w:val="000000"/>
                <w:kern w:val="0"/>
                <w:sz w:val="24"/>
                <w:szCs w:val="24"/>
              </w:rPr>
            </w:pPr>
            <w:r w:rsidRPr="00B05049">
              <w:rPr>
                <w:rFonts w:ascii="宋体" w:hAnsi="宋体" w:cs="宋体" w:hint="eastAsia"/>
                <w:color w:val="000000"/>
                <w:kern w:val="0"/>
                <w:sz w:val="24"/>
                <w:szCs w:val="24"/>
              </w:rPr>
              <w:t>名称</w:t>
            </w:r>
          </w:p>
        </w:tc>
        <w:tc>
          <w:tcPr>
            <w:tcW w:w="4808" w:type="dxa"/>
            <w:vAlign w:val="center"/>
          </w:tcPr>
          <w:p w:rsidR="00750D48" w:rsidRPr="00B05049" w:rsidRDefault="00750D48" w:rsidP="005F7917">
            <w:pPr>
              <w:autoSpaceDE w:val="0"/>
              <w:autoSpaceDN w:val="0"/>
              <w:adjustRightInd w:val="0"/>
              <w:spacing w:before="29" w:line="360" w:lineRule="auto"/>
              <w:ind w:left="17"/>
              <w:jc w:val="center"/>
              <w:rPr>
                <w:rFonts w:ascii="宋体"/>
                <w:color w:val="000000"/>
                <w:kern w:val="0"/>
                <w:sz w:val="24"/>
                <w:szCs w:val="24"/>
              </w:rPr>
            </w:pPr>
            <w:r w:rsidRPr="00B05049">
              <w:rPr>
                <w:rFonts w:ascii="宋体" w:hAnsi="宋体" w:cs="宋体" w:hint="eastAsia"/>
                <w:color w:val="000000"/>
                <w:kern w:val="0"/>
                <w:sz w:val="24"/>
                <w:szCs w:val="24"/>
              </w:rPr>
              <w:t>金额</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元</w:t>
            </w:r>
            <w:r w:rsidR="005F7917">
              <w:rPr>
                <w:rFonts w:ascii="宋体" w:hAnsi="宋体" w:cs="宋体" w:hint="eastAsia"/>
                <w:color w:val="000000"/>
                <w:kern w:val="0"/>
                <w:sz w:val="24"/>
                <w:szCs w:val="24"/>
              </w:rPr>
              <w:t>）</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1</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olor w:val="000000"/>
                <w:kern w:val="0"/>
                <w:sz w:val="24"/>
                <w:szCs w:val="24"/>
              </w:rPr>
            </w:pPr>
            <w:r w:rsidRPr="00B05049">
              <w:rPr>
                <w:rFonts w:ascii="宋体" w:hAnsi="宋体" w:cs="宋体" w:hint="eastAsia"/>
                <w:color w:val="000000"/>
                <w:kern w:val="0"/>
                <w:sz w:val="24"/>
                <w:szCs w:val="24"/>
              </w:rPr>
              <w:t>存出保证金</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1,831,265.85</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2</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olor w:val="000000"/>
                <w:kern w:val="0"/>
                <w:sz w:val="24"/>
                <w:szCs w:val="24"/>
              </w:rPr>
            </w:pPr>
            <w:r w:rsidRPr="00B05049">
              <w:rPr>
                <w:rFonts w:ascii="宋体" w:hAnsi="宋体" w:cs="宋体" w:hint="eastAsia"/>
                <w:color w:val="000000"/>
                <w:kern w:val="0"/>
                <w:sz w:val="24"/>
                <w:szCs w:val="24"/>
              </w:rPr>
              <w:t>应收证券清算款</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40,384,509.90</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3</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olor w:val="000000"/>
                <w:kern w:val="0"/>
                <w:sz w:val="24"/>
                <w:szCs w:val="24"/>
              </w:rPr>
            </w:pPr>
            <w:r w:rsidRPr="00B05049">
              <w:rPr>
                <w:rFonts w:ascii="宋体" w:hAnsi="宋体" w:cs="宋体" w:hint="eastAsia"/>
                <w:color w:val="000000"/>
                <w:kern w:val="0"/>
                <w:sz w:val="24"/>
                <w:szCs w:val="24"/>
              </w:rPr>
              <w:t>应收股利</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4</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olor w:val="000000"/>
                <w:kern w:val="0"/>
                <w:sz w:val="24"/>
                <w:szCs w:val="24"/>
              </w:rPr>
            </w:pPr>
            <w:r w:rsidRPr="00B05049">
              <w:rPr>
                <w:rFonts w:ascii="宋体" w:hAnsi="宋体" w:cs="宋体" w:hint="eastAsia"/>
                <w:color w:val="000000"/>
                <w:kern w:val="0"/>
                <w:sz w:val="24"/>
                <w:szCs w:val="24"/>
              </w:rPr>
              <w:t>应收利息</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1,221,628.73</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5</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olor w:val="000000"/>
                <w:kern w:val="0"/>
                <w:sz w:val="24"/>
                <w:szCs w:val="24"/>
              </w:rPr>
            </w:pPr>
            <w:r w:rsidRPr="00B05049">
              <w:rPr>
                <w:rFonts w:ascii="宋体" w:hAnsi="宋体" w:cs="宋体" w:hint="eastAsia"/>
                <w:color w:val="000000"/>
                <w:kern w:val="0"/>
                <w:sz w:val="24"/>
                <w:szCs w:val="24"/>
              </w:rPr>
              <w:t>应收申购款</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2,926,153.27</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6</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olor w:val="000000"/>
                <w:kern w:val="0"/>
                <w:sz w:val="24"/>
                <w:szCs w:val="24"/>
              </w:rPr>
            </w:pPr>
            <w:r w:rsidRPr="00B05049">
              <w:rPr>
                <w:rFonts w:ascii="宋体" w:hAnsi="宋体" w:cs="宋体" w:hint="eastAsia"/>
                <w:color w:val="000000"/>
                <w:kern w:val="0"/>
                <w:sz w:val="24"/>
                <w:szCs w:val="24"/>
              </w:rPr>
              <w:t>其他应收款</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7</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s="宋体"/>
                <w:color w:val="000000"/>
                <w:kern w:val="0"/>
                <w:sz w:val="24"/>
                <w:szCs w:val="24"/>
              </w:rPr>
            </w:pPr>
            <w:r w:rsidRPr="00B05049">
              <w:rPr>
                <w:rFonts w:ascii="宋体" w:hAnsi="宋体" w:cs="宋体" w:hint="eastAsia"/>
                <w:color w:val="000000"/>
                <w:kern w:val="0"/>
                <w:sz w:val="24"/>
                <w:szCs w:val="24"/>
              </w:rPr>
              <w:t>待摊费用</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8</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olor w:val="000000"/>
                <w:kern w:val="0"/>
                <w:sz w:val="24"/>
                <w:szCs w:val="24"/>
              </w:rPr>
            </w:pPr>
            <w:r w:rsidRPr="00B05049">
              <w:rPr>
                <w:rFonts w:ascii="宋体" w:hAnsi="宋体" w:cs="宋体" w:hint="eastAsia"/>
                <w:color w:val="000000"/>
                <w:kern w:val="0"/>
                <w:sz w:val="24"/>
                <w:szCs w:val="24"/>
              </w:rPr>
              <w:t>其他</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w:t>
            </w:r>
          </w:p>
        </w:tc>
      </w:tr>
      <w:tr w:rsidR="00750D48" w:rsidRPr="00264E55" w:rsidTr="00B05049">
        <w:tc>
          <w:tcPr>
            <w:tcW w:w="1235" w:type="dxa"/>
            <w:vAlign w:val="center"/>
          </w:tcPr>
          <w:p w:rsidR="00750D48" w:rsidRPr="00B05049" w:rsidRDefault="00750D48" w:rsidP="00B05049">
            <w:pPr>
              <w:autoSpaceDE w:val="0"/>
              <w:autoSpaceDN w:val="0"/>
              <w:adjustRightInd w:val="0"/>
              <w:spacing w:before="29" w:line="360" w:lineRule="auto"/>
              <w:ind w:left="15"/>
              <w:jc w:val="center"/>
              <w:rPr>
                <w:rFonts w:ascii="宋体" w:hAnsi="宋体"/>
                <w:color w:val="000000"/>
                <w:kern w:val="0"/>
                <w:sz w:val="24"/>
                <w:szCs w:val="24"/>
              </w:rPr>
            </w:pPr>
            <w:r w:rsidRPr="00B05049">
              <w:rPr>
                <w:rFonts w:ascii="宋体" w:hAnsi="宋体"/>
                <w:color w:val="000000"/>
                <w:kern w:val="0"/>
                <w:sz w:val="24"/>
                <w:szCs w:val="24"/>
              </w:rPr>
              <w:t>9</w:t>
            </w:r>
          </w:p>
        </w:tc>
        <w:tc>
          <w:tcPr>
            <w:tcW w:w="2470" w:type="dxa"/>
            <w:vAlign w:val="center"/>
          </w:tcPr>
          <w:p w:rsidR="00750D48" w:rsidRPr="00B05049" w:rsidRDefault="00750D48" w:rsidP="00B05049">
            <w:pPr>
              <w:autoSpaceDE w:val="0"/>
              <w:autoSpaceDN w:val="0"/>
              <w:adjustRightInd w:val="0"/>
              <w:spacing w:before="29" w:line="360" w:lineRule="auto"/>
              <w:ind w:left="15"/>
              <w:jc w:val="left"/>
              <w:rPr>
                <w:rFonts w:ascii="宋体"/>
                <w:color w:val="000000"/>
                <w:kern w:val="0"/>
                <w:sz w:val="24"/>
                <w:szCs w:val="24"/>
              </w:rPr>
            </w:pPr>
            <w:r w:rsidRPr="00B05049">
              <w:rPr>
                <w:rFonts w:ascii="宋体" w:hAnsi="宋体" w:cs="宋体" w:hint="eastAsia"/>
                <w:color w:val="000000"/>
                <w:kern w:val="0"/>
                <w:sz w:val="24"/>
                <w:szCs w:val="24"/>
              </w:rPr>
              <w:t>合计</w:t>
            </w:r>
          </w:p>
        </w:tc>
        <w:tc>
          <w:tcPr>
            <w:tcW w:w="4808" w:type="dxa"/>
            <w:vAlign w:val="center"/>
          </w:tcPr>
          <w:p w:rsidR="00750D48" w:rsidRPr="00B05049" w:rsidRDefault="00750D48" w:rsidP="00B05049">
            <w:pPr>
              <w:autoSpaceDE w:val="0"/>
              <w:autoSpaceDN w:val="0"/>
              <w:adjustRightInd w:val="0"/>
              <w:spacing w:before="29" w:line="360" w:lineRule="auto"/>
              <w:ind w:left="15"/>
              <w:jc w:val="right"/>
              <w:rPr>
                <w:rFonts w:ascii="宋体" w:hAnsi="宋体"/>
                <w:color w:val="000000"/>
                <w:kern w:val="0"/>
                <w:sz w:val="24"/>
                <w:szCs w:val="24"/>
              </w:rPr>
            </w:pPr>
            <w:r w:rsidRPr="00B05049">
              <w:rPr>
                <w:rFonts w:ascii="宋体" w:hAnsi="宋体"/>
                <w:color w:val="000000"/>
                <w:kern w:val="0"/>
                <w:sz w:val="24"/>
                <w:szCs w:val="24"/>
              </w:rPr>
              <w:t>46,363,557.75</w:t>
            </w:r>
          </w:p>
        </w:tc>
      </w:tr>
    </w:tbl>
    <w:p w:rsidR="00750D48" w:rsidRPr="00264E55" w:rsidRDefault="00750D48" w:rsidP="00D57B7C">
      <w:pPr>
        <w:autoSpaceDE w:val="0"/>
        <w:autoSpaceDN w:val="0"/>
        <w:adjustRightInd w:val="0"/>
        <w:spacing w:line="360" w:lineRule="auto"/>
        <w:rPr>
          <w:rFonts w:ascii="宋体"/>
          <w:color w:val="000000"/>
          <w:sz w:val="24"/>
          <w:szCs w:val="24"/>
        </w:rPr>
      </w:pP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64E55" w:rsidRDefault="00750D48" w:rsidP="00C5642F">
      <w:pPr>
        <w:autoSpaceDE w:val="0"/>
        <w:autoSpaceDN w:val="0"/>
        <w:adjustRightInd w:val="0"/>
        <w:spacing w:line="360" w:lineRule="auto"/>
        <w:jc w:val="left"/>
        <w:rPr>
          <w:rFonts w:ascii="宋体" w:hAnsi="宋体"/>
          <w:color w:val="000000"/>
          <w:sz w:val="24"/>
          <w:szCs w:val="24"/>
        </w:rPr>
      </w:pPr>
      <w:r w:rsidRPr="00264E55">
        <w:rPr>
          <w:rFonts w:ascii="宋体" w:hAnsi="宋体"/>
          <w:color w:val="000000"/>
          <w:sz w:val="24"/>
          <w:szCs w:val="24"/>
        </w:rPr>
        <w:t>本基金本报告期末未持有处于转股期的可转换债券。</w:t>
      </w:r>
    </w:p>
    <w:p w:rsidR="00750D48" w:rsidRPr="00264E55" w:rsidRDefault="00750D48" w:rsidP="00924582">
      <w:pPr>
        <w:autoSpaceDE w:val="0"/>
        <w:autoSpaceDN w:val="0"/>
        <w:adjustRightInd w:val="0"/>
        <w:spacing w:line="360" w:lineRule="auto"/>
        <w:rPr>
          <w:rFonts w:ascii="宋体"/>
          <w:color w:val="000000"/>
          <w:sz w:val="24"/>
          <w:szCs w:val="24"/>
        </w:rPr>
      </w:pP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3"/>
        <w:gridCol w:w="1302"/>
        <w:gridCol w:w="1301"/>
        <w:gridCol w:w="1805"/>
        <w:gridCol w:w="1655"/>
        <w:gridCol w:w="1367"/>
      </w:tblGrid>
      <w:tr w:rsidR="00750D48" w:rsidRPr="00264E55" w:rsidTr="00B05049">
        <w:tc>
          <w:tcPr>
            <w:tcW w:w="1083"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序号</w:t>
            </w:r>
          </w:p>
        </w:tc>
        <w:tc>
          <w:tcPr>
            <w:tcW w:w="1302"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股票代码</w:t>
            </w:r>
          </w:p>
        </w:tc>
        <w:tc>
          <w:tcPr>
            <w:tcW w:w="1301"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股票名称</w:t>
            </w:r>
          </w:p>
        </w:tc>
        <w:tc>
          <w:tcPr>
            <w:tcW w:w="1805"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流通受限部分的公允价值</w:t>
            </w:r>
            <w:r w:rsidR="005F7917">
              <w:rPr>
                <w:rFonts w:ascii="宋体" w:hAnsi="宋体" w:cs="宋体" w:hint="eastAsia"/>
                <w:color w:val="000000"/>
                <w:kern w:val="0"/>
                <w:sz w:val="24"/>
                <w:szCs w:val="24"/>
              </w:rPr>
              <w:t>（</w:t>
            </w:r>
            <w:r w:rsidR="005F7917" w:rsidRPr="00B05049">
              <w:rPr>
                <w:rFonts w:ascii="宋体" w:hAnsi="宋体" w:cs="宋体" w:hint="eastAsia"/>
                <w:color w:val="000000"/>
                <w:kern w:val="0"/>
                <w:sz w:val="24"/>
                <w:szCs w:val="24"/>
              </w:rPr>
              <w:t>元</w:t>
            </w:r>
            <w:r w:rsidR="005F7917">
              <w:rPr>
                <w:rFonts w:ascii="宋体" w:hAnsi="宋体" w:cs="宋体" w:hint="eastAsia"/>
                <w:color w:val="000000"/>
                <w:kern w:val="0"/>
                <w:sz w:val="24"/>
                <w:szCs w:val="24"/>
              </w:rPr>
              <w:t>）</w:t>
            </w:r>
          </w:p>
        </w:tc>
        <w:tc>
          <w:tcPr>
            <w:tcW w:w="1655" w:type="dxa"/>
            <w:vAlign w:val="center"/>
          </w:tcPr>
          <w:p w:rsidR="00750D48" w:rsidRPr="00B05049" w:rsidRDefault="00750D48" w:rsidP="005F7917">
            <w:pPr>
              <w:spacing w:before="29" w:line="360" w:lineRule="auto"/>
              <w:ind w:left="17"/>
              <w:jc w:val="center"/>
              <w:rPr>
                <w:rFonts w:ascii="宋体" w:hAnsi="宋体" w:cs="宋体"/>
                <w:color w:val="000000"/>
                <w:kern w:val="0"/>
                <w:sz w:val="24"/>
                <w:szCs w:val="24"/>
              </w:rPr>
            </w:pPr>
            <w:r w:rsidRPr="00B05049">
              <w:rPr>
                <w:rFonts w:ascii="宋体" w:hAnsi="宋体" w:cs="宋体" w:hint="eastAsia"/>
                <w:color w:val="000000"/>
                <w:kern w:val="0"/>
                <w:sz w:val="24"/>
                <w:szCs w:val="24"/>
              </w:rPr>
              <w:t>占基金资产净值比例</w:t>
            </w:r>
            <w:r w:rsidR="005F7917">
              <w:rPr>
                <w:rFonts w:ascii="宋体" w:hAnsi="宋体" w:cs="宋体" w:hint="eastAsia"/>
                <w:color w:val="000000"/>
                <w:kern w:val="0"/>
                <w:sz w:val="24"/>
                <w:szCs w:val="24"/>
              </w:rPr>
              <w:t>（</w:t>
            </w:r>
            <w:r w:rsidR="005F7917" w:rsidRPr="00B05049">
              <w:rPr>
                <w:rFonts w:ascii="宋体" w:hAnsi="宋体" w:cs="宋体"/>
                <w:color w:val="000000"/>
                <w:kern w:val="0"/>
                <w:sz w:val="24"/>
                <w:szCs w:val="24"/>
              </w:rPr>
              <w:t>%</w:t>
            </w:r>
            <w:r w:rsidR="005F7917">
              <w:rPr>
                <w:rFonts w:ascii="宋体" w:hAnsi="宋体" w:cs="宋体" w:hint="eastAsia"/>
                <w:color w:val="000000"/>
                <w:kern w:val="0"/>
                <w:sz w:val="24"/>
                <w:szCs w:val="24"/>
              </w:rPr>
              <w:t>）</w:t>
            </w:r>
          </w:p>
        </w:tc>
        <w:tc>
          <w:tcPr>
            <w:tcW w:w="1367" w:type="dxa"/>
            <w:vAlign w:val="center"/>
          </w:tcPr>
          <w:p w:rsidR="00750D48" w:rsidRPr="00B05049" w:rsidRDefault="00750D48" w:rsidP="00B05049">
            <w:pPr>
              <w:spacing w:before="29" w:line="360" w:lineRule="auto"/>
              <w:ind w:left="17"/>
              <w:jc w:val="center"/>
              <w:rPr>
                <w:rFonts w:ascii="宋体" w:cs="宋体"/>
                <w:color w:val="000000"/>
                <w:kern w:val="0"/>
                <w:sz w:val="24"/>
                <w:szCs w:val="24"/>
              </w:rPr>
            </w:pPr>
            <w:r w:rsidRPr="00B05049">
              <w:rPr>
                <w:rFonts w:ascii="宋体" w:hAnsi="宋体" w:cs="宋体" w:hint="eastAsia"/>
                <w:color w:val="000000"/>
                <w:kern w:val="0"/>
                <w:sz w:val="24"/>
                <w:szCs w:val="24"/>
              </w:rPr>
              <w:t>流通受限情况说明</w:t>
            </w:r>
          </w:p>
        </w:tc>
      </w:tr>
      <w:tr w:rsidR="00A0086C">
        <w:tc>
          <w:tcPr>
            <w:tcW w:w="1083" w:type="dxa"/>
            <w:vAlign w:val="center"/>
          </w:tcPr>
          <w:p w:rsidR="00A0086C" w:rsidRDefault="00F23D76">
            <w:pPr>
              <w:jc w:val="center"/>
            </w:pPr>
            <w:r>
              <w:rPr>
                <w:rFonts w:ascii="宋体" w:cs="宋体"/>
                <w:color w:val="000000"/>
                <w:kern w:val="0"/>
                <w:sz w:val="24"/>
                <w:szCs w:val="24"/>
              </w:rPr>
              <w:t>1</w:t>
            </w:r>
          </w:p>
        </w:tc>
        <w:tc>
          <w:tcPr>
            <w:tcW w:w="1302" w:type="dxa"/>
            <w:vAlign w:val="center"/>
          </w:tcPr>
          <w:p w:rsidR="00A0086C" w:rsidRDefault="00F23D76">
            <w:pPr>
              <w:jc w:val="center"/>
            </w:pPr>
            <w:r>
              <w:rPr>
                <w:rFonts w:ascii="宋体" w:cs="宋体"/>
                <w:color w:val="000000"/>
                <w:kern w:val="0"/>
                <w:sz w:val="24"/>
                <w:szCs w:val="24"/>
              </w:rPr>
              <w:t>002065</w:t>
            </w:r>
          </w:p>
        </w:tc>
        <w:tc>
          <w:tcPr>
            <w:tcW w:w="1301" w:type="dxa"/>
            <w:vAlign w:val="center"/>
          </w:tcPr>
          <w:p w:rsidR="00A0086C" w:rsidRDefault="00F23D76">
            <w:pPr>
              <w:jc w:val="center"/>
            </w:pPr>
            <w:r>
              <w:rPr>
                <w:rFonts w:ascii="宋体" w:cs="宋体"/>
                <w:color w:val="000000"/>
                <w:kern w:val="0"/>
                <w:sz w:val="24"/>
                <w:szCs w:val="24"/>
              </w:rPr>
              <w:t>东华软件</w:t>
            </w:r>
          </w:p>
        </w:tc>
        <w:tc>
          <w:tcPr>
            <w:tcW w:w="1805" w:type="dxa"/>
            <w:vAlign w:val="center"/>
          </w:tcPr>
          <w:p w:rsidR="00A0086C" w:rsidRDefault="00F23D76">
            <w:pPr>
              <w:jc w:val="right"/>
            </w:pPr>
            <w:r>
              <w:rPr>
                <w:rFonts w:ascii="宋体" w:cs="宋体"/>
                <w:color w:val="000000"/>
                <w:kern w:val="0"/>
                <w:sz w:val="24"/>
                <w:szCs w:val="24"/>
              </w:rPr>
              <w:t>314,170,073.52</w:t>
            </w:r>
          </w:p>
        </w:tc>
        <w:tc>
          <w:tcPr>
            <w:tcW w:w="1655" w:type="dxa"/>
            <w:vAlign w:val="center"/>
          </w:tcPr>
          <w:p w:rsidR="00A0086C" w:rsidRDefault="00F23D76">
            <w:pPr>
              <w:jc w:val="right"/>
            </w:pPr>
            <w:r>
              <w:rPr>
                <w:rFonts w:ascii="宋体" w:cs="宋体"/>
                <w:color w:val="000000"/>
                <w:kern w:val="0"/>
                <w:sz w:val="24"/>
                <w:szCs w:val="24"/>
              </w:rPr>
              <w:t>6.12</w:t>
            </w:r>
          </w:p>
        </w:tc>
        <w:tc>
          <w:tcPr>
            <w:tcW w:w="1367" w:type="dxa"/>
            <w:vAlign w:val="center"/>
          </w:tcPr>
          <w:p w:rsidR="00A0086C" w:rsidRDefault="00F23D76">
            <w:pPr>
              <w:jc w:val="right"/>
            </w:pPr>
            <w:r>
              <w:rPr>
                <w:rFonts w:ascii="宋体" w:cs="宋体"/>
                <w:color w:val="000000"/>
                <w:kern w:val="0"/>
                <w:sz w:val="24"/>
                <w:szCs w:val="24"/>
              </w:rPr>
              <w:t>重大事项公布</w:t>
            </w:r>
          </w:p>
        </w:tc>
      </w:tr>
    </w:tbl>
    <w:p w:rsidR="00750D48" w:rsidRPr="00264E55" w:rsidRDefault="00750D48" w:rsidP="00924582">
      <w:pPr>
        <w:autoSpaceDE w:val="0"/>
        <w:autoSpaceDN w:val="0"/>
        <w:adjustRightInd w:val="0"/>
        <w:spacing w:line="360" w:lineRule="auto"/>
        <w:rPr>
          <w:rFonts w:ascii="宋体"/>
          <w:color w:val="000000"/>
          <w:sz w:val="24"/>
          <w:szCs w:val="24"/>
        </w:rPr>
      </w:pPr>
    </w:p>
    <w:p w:rsidR="00750D48" w:rsidRPr="00264E55" w:rsidRDefault="00750D48" w:rsidP="0069494E">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left"/>
              <w:rPr>
                <w:rFonts w:ascii="宋体"/>
                <w:color w:val="000000"/>
                <w:kern w:val="0"/>
                <w:sz w:val="24"/>
                <w:szCs w:val="24"/>
              </w:rPr>
            </w:pPr>
            <w:r w:rsidRPr="00264E55">
              <w:rPr>
                <w:rFonts w:ascii="宋体" w:hAnsi="宋体" w:cs="宋体" w:hint="eastAsia"/>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4,462,702,021.34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left"/>
              <w:rPr>
                <w:rFonts w:ascii="宋体"/>
                <w:color w:val="000000"/>
                <w:kern w:val="0"/>
                <w:sz w:val="24"/>
                <w:szCs w:val="24"/>
              </w:rPr>
            </w:pPr>
            <w:r w:rsidRPr="001878B0">
              <w:rPr>
                <w:rFonts w:ascii="宋体" w:cs="宋体"/>
                <w:color w:val="000000"/>
                <w:kern w:val="0"/>
                <w:sz w:val="24"/>
                <w:szCs w:val="24"/>
              </w:rPr>
              <w:lastRenderedPageBreak/>
              <w:t>报告期</w:t>
            </w:r>
            <w:r w:rsidRPr="00264E55">
              <w:rPr>
                <w:rFonts w:ascii="宋体" w:hAnsi="宋体" w:cs="宋体" w:hint="eastAsia"/>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349,131,090.43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left"/>
              <w:rPr>
                <w:rFonts w:ascii="宋体"/>
                <w:color w:val="000000"/>
                <w:kern w:val="0"/>
                <w:sz w:val="24"/>
                <w:szCs w:val="24"/>
              </w:rPr>
            </w:pPr>
            <w:r w:rsidRPr="00264E55">
              <w:rPr>
                <w:rFonts w:ascii="宋体" w:hAnsi="宋体" w:cs="宋体" w:hint="eastAsia"/>
                <w:color w:val="000000"/>
                <w:kern w:val="0"/>
                <w:sz w:val="24"/>
                <w:szCs w:val="24"/>
              </w:rPr>
              <w:t>减：</w:t>
            </w:r>
            <w:r w:rsidRPr="001878B0">
              <w:rPr>
                <w:rFonts w:ascii="宋体" w:hAnsi="宋体" w:cs="宋体"/>
                <w:color w:val="000000"/>
                <w:kern w:val="0"/>
                <w:sz w:val="24"/>
                <w:szCs w:val="24"/>
              </w:rPr>
              <w:t>报告期</w:t>
            </w:r>
            <w:r w:rsidRPr="00264E55">
              <w:rPr>
                <w:rFonts w:ascii="宋体" w:hAnsi="宋体" w:cs="宋体" w:hint="eastAsia"/>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1,059,608,071.93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left"/>
              <w:rPr>
                <w:rFonts w:ascii="宋体"/>
                <w:color w:val="000000"/>
                <w:kern w:val="0"/>
                <w:sz w:val="24"/>
                <w:szCs w:val="24"/>
              </w:rPr>
            </w:pPr>
            <w:r w:rsidRPr="001878B0">
              <w:rPr>
                <w:rFonts w:ascii="宋体" w:cs="宋体"/>
                <w:color w:val="000000"/>
                <w:kern w:val="0"/>
                <w:sz w:val="24"/>
                <w:szCs w:val="24"/>
              </w:rPr>
              <w:t>报告期</w:t>
            </w:r>
            <w:r w:rsidRPr="00264E55">
              <w:rPr>
                <w:rFonts w:ascii="宋体" w:hAnsi="宋体" w:cs="宋体" w:hint="eastAsia"/>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924582">
            <w:pPr>
              <w:autoSpaceDE w:val="0"/>
              <w:autoSpaceDN w:val="0"/>
              <w:adjustRightInd w:val="0"/>
              <w:spacing w:before="29" w:line="360" w:lineRule="auto"/>
              <w:ind w:left="17"/>
              <w:jc w:val="left"/>
              <w:rPr>
                <w:rFonts w:ascii="宋体"/>
                <w:color w:val="000000"/>
                <w:kern w:val="0"/>
                <w:sz w:val="24"/>
                <w:szCs w:val="24"/>
              </w:rPr>
            </w:pPr>
            <w:r w:rsidRPr="00264E55">
              <w:rPr>
                <w:rFonts w:ascii="宋体" w:hAnsi="宋体" w:cs="宋体" w:hint="eastAsia"/>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264E55" w:rsidRDefault="00750D48" w:rsidP="000A2B53">
            <w:pPr>
              <w:autoSpaceDE w:val="0"/>
              <w:autoSpaceDN w:val="0"/>
              <w:adjustRightInd w:val="0"/>
              <w:spacing w:before="29" w:line="360" w:lineRule="auto"/>
              <w:ind w:left="17"/>
              <w:jc w:val="right"/>
              <w:rPr>
                <w:rFonts w:ascii="宋体" w:hAnsi="宋体" w:cs="宋体"/>
                <w:color w:val="000000"/>
                <w:sz w:val="24"/>
                <w:szCs w:val="24"/>
              </w:rPr>
            </w:pPr>
            <w:r w:rsidRPr="00264E55">
              <w:rPr>
                <w:rFonts w:ascii="宋体" w:hAnsi="宋体" w:cs="宋体"/>
                <w:color w:val="000000"/>
                <w:sz w:val="24"/>
                <w:szCs w:val="24"/>
              </w:rPr>
              <w:t>3,752,225,039.84</w:t>
            </w:r>
          </w:p>
        </w:tc>
      </w:tr>
    </w:tbl>
    <w:p w:rsidR="00750D48" w:rsidRDefault="00750D48" w:rsidP="0069494E">
      <w:pPr>
        <w:pStyle w:val="1"/>
        <w:tabs>
          <w:tab w:val="center" w:pos="4156"/>
          <w:tab w:val="right" w:pos="8312"/>
        </w:tabs>
        <w:spacing w:beforeLines="100" w:afterLines="100"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Default="00750D48" w:rsidP="00EB374A">
      <w:pPr>
        <w:autoSpaceDE w:val="0"/>
        <w:autoSpaceDN w:val="0"/>
        <w:adjustRightInd w:val="0"/>
        <w:spacing w:line="360" w:lineRule="auto"/>
        <w:jc w:val="left"/>
        <w:rPr>
          <w:rFonts w:ascii="宋体" w:hAnsi="宋体"/>
          <w:color w:val="000000"/>
          <w:sz w:val="24"/>
        </w:rPr>
      </w:pPr>
      <w:r>
        <w:rPr>
          <w:rFonts w:ascii="宋体" w:hAnsi="宋体"/>
          <w:color w:val="000000"/>
          <w:sz w:val="24"/>
        </w:rPr>
        <w:t>本报告期内本基金管理人未运用固有资金投资本基金。截止本报告期末，本基金管理人未持有本基金。</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Default="00750D48" w:rsidP="00EB374A">
      <w:pPr>
        <w:autoSpaceDE w:val="0"/>
        <w:autoSpaceDN w:val="0"/>
        <w:adjustRightInd w:val="0"/>
        <w:spacing w:line="360" w:lineRule="auto"/>
        <w:jc w:val="left"/>
        <w:rPr>
          <w:rFonts w:ascii="宋体" w:hAnsi="宋体"/>
          <w:color w:val="000000"/>
          <w:sz w:val="24"/>
        </w:rPr>
      </w:pPr>
      <w:r>
        <w:rPr>
          <w:rFonts w:ascii="宋体" w:hAnsi="宋体"/>
          <w:color w:val="000000"/>
          <w:sz w:val="24"/>
        </w:rPr>
        <w:t>本报告期内，本基金的基金管理人未运用固有资金交易本基金。</w:t>
      </w:r>
    </w:p>
    <w:p w:rsidR="00750D48" w:rsidRPr="00264E55" w:rsidRDefault="00750D48" w:rsidP="0069494E">
      <w:pPr>
        <w:pStyle w:val="1"/>
        <w:spacing w:beforeLines="100" w:after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A0086C" w:rsidRDefault="00F23D76">
      <w:pPr>
        <w:spacing w:line="360" w:lineRule="auto"/>
        <w:ind w:firstLineChars="200" w:firstLine="480"/>
        <w:rPr>
          <w:rFonts w:ascii="宋体"/>
          <w:color w:val="000000"/>
          <w:sz w:val="24"/>
          <w:szCs w:val="24"/>
        </w:rPr>
      </w:pPr>
      <w:r>
        <w:rPr>
          <w:rFonts w:ascii="宋体" w:hAnsi="宋体"/>
          <w:color w:val="000000"/>
          <w:sz w:val="24"/>
          <w:szCs w:val="24"/>
        </w:rPr>
        <w:t>1、关于同意国泰金牛创新成长股票型证券投资基金募集的批复</w:t>
      </w:r>
    </w:p>
    <w:p w:rsidR="00A0086C" w:rsidRDefault="00F23D76">
      <w:pPr>
        <w:spacing w:line="360" w:lineRule="auto"/>
        <w:ind w:firstLineChars="200" w:firstLine="480"/>
        <w:rPr>
          <w:rFonts w:ascii="宋体"/>
          <w:color w:val="000000"/>
          <w:sz w:val="24"/>
          <w:szCs w:val="24"/>
        </w:rPr>
      </w:pPr>
      <w:r>
        <w:rPr>
          <w:rFonts w:ascii="宋体" w:hAnsi="宋体"/>
          <w:color w:val="000000"/>
          <w:sz w:val="24"/>
          <w:szCs w:val="24"/>
        </w:rPr>
        <w:t>2、国泰金牛创新成长股票型证券投资基金合同</w:t>
      </w:r>
    </w:p>
    <w:p w:rsidR="00A0086C" w:rsidRDefault="00F23D76">
      <w:pPr>
        <w:spacing w:line="360" w:lineRule="auto"/>
        <w:ind w:firstLineChars="200" w:firstLine="480"/>
        <w:rPr>
          <w:rFonts w:ascii="宋体"/>
          <w:color w:val="000000"/>
          <w:sz w:val="24"/>
          <w:szCs w:val="24"/>
        </w:rPr>
      </w:pPr>
      <w:r>
        <w:rPr>
          <w:rFonts w:ascii="宋体" w:hAnsi="宋体"/>
          <w:color w:val="000000"/>
          <w:sz w:val="24"/>
          <w:szCs w:val="24"/>
        </w:rPr>
        <w:t>3、国泰金牛创新成长股票型证券投资基金托管协议</w:t>
      </w:r>
    </w:p>
    <w:p w:rsidR="00A0086C" w:rsidRDefault="00F23D76">
      <w:pPr>
        <w:spacing w:line="360" w:lineRule="auto"/>
        <w:ind w:firstLineChars="200" w:firstLine="480"/>
        <w:rPr>
          <w:rFonts w:ascii="宋体"/>
          <w:color w:val="000000"/>
          <w:sz w:val="24"/>
          <w:szCs w:val="24"/>
        </w:rPr>
      </w:pPr>
      <w:r>
        <w:rPr>
          <w:rFonts w:ascii="宋体" w:hAnsi="宋体"/>
          <w:color w:val="000000"/>
          <w:sz w:val="24"/>
          <w:szCs w:val="24"/>
        </w:rPr>
        <w:t>4、报告期内披露的各项公告</w:t>
      </w:r>
    </w:p>
    <w:p w:rsidR="00750D48" w:rsidRDefault="00750D48" w:rsidP="00EB572F">
      <w:pPr>
        <w:spacing w:line="360" w:lineRule="auto"/>
        <w:ind w:firstLineChars="200" w:firstLine="480"/>
        <w:rPr>
          <w:rFonts w:ascii="宋体"/>
          <w:color w:val="000000"/>
          <w:sz w:val="24"/>
          <w:szCs w:val="24"/>
        </w:rPr>
      </w:pPr>
      <w:r w:rsidRPr="00264E55">
        <w:rPr>
          <w:rFonts w:ascii="宋体" w:hAnsi="宋体"/>
          <w:color w:val="000000"/>
          <w:sz w:val="24"/>
          <w:szCs w:val="24"/>
        </w:rPr>
        <w:t>5、法律法规要求备查的其他文件</w:t>
      </w:r>
    </w:p>
    <w:p w:rsidR="00750D48" w:rsidRPr="00264E55" w:rsidRDefault="00750D48" w:rsidP="00EB572F">
      <w:pPr>
        <w:spacing w:line="360" w:lineRule="auto"/>
        <w:ind w:firstLineChars="200" w:firstLine="480"/>
        <w:rPr>
          <w:rFonts w:ascii="宋体"/>
          <w:color w:val="000000"/>
          <w:sz w:val="24"/>
          <w:szCs w:val="24"/>
        </w:rPr>
      </w:pP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Default="00750D48" w:rsidP="00EB572F">
      <w:pPr>
        <w:spacing w:line="360" w:lineRule="auto"/>
        <w:ind w:firstLineChars="200" w:firstLine="480"/>
        <w:rPr>
          <w:rFonts w:ascii="宋体"/>
          <w:color w:val="000000"/>
          <w:sz w:val="24"/>
          <w:szCs w:val="24"/>
        </w:rPr>
      </w:pPr>
      <w:r w:rsidRPr="00264E55">
        <w:rPr>
          <w:rFonts w:ascii="宋体" w:hAnsi="宋体"/>
          <w:color w:val="000000"/>
          <w:sz w:val="24"/>
          <w:szCs w:val="24"/>
        </w:rPr>
        <w:t>本基金管理人国泰基金管理有限公司办公地点——上海市虹口区公平路18号8号楼嘉昱大厦16层-19层。</w:t>
      </w:r>
    </w:p>
    <w:p w:rsidR="00750D48" w:rsidRPr="00264E55" w:rsidRDefault="00750D48" w:rsidP="00EB572F">
      <w:pPr>
        <w:spacing w:line="360" w:lineRule="auto"/>
        <w:ind w:firstLineChars="200" w:firstLine="480"/>
        <w:rPr>
          <w:rFonts w:ascii="宋体"/>
          <w:color w:val="000000"/>
          <w:sz w:val="24"/>
          <w:szCs w:val="24"/>
        </w:rPr>
      </w:pP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可咨询本基金管理人；部分备查文件可在本基金管理人公司网站上查阅。</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客户服务中心电话：（021）31089000，400-888-8688</w:t>
      </w:r>
    </w:p>
    <w:p w:rsidR="00A0086C" w:rsidRDefault="00F23D76">
      <w:pPr>
        <w:spacing w:line="360" w:lineRule="auto"/>
        <w:ind w:firstLineChars="200" w:firstLine="480"/>
        <w:rPr>
          <w:rFonts w:ascii="宋体" w:hAnsi="宋体"/>
          <w:color w:val="000000"/>
          <w:sz w:val="24"/>
          <w:szCs w:val="24"/>
        </w:rPr>
      </w:pPr>
      <w:r>
        <w:rPr>
          <w:rFonts w:ascii="宋体" w:hAnsi="宋体"/>
          <w:color w:val="000000"/>
          <w:sz w:val="24"/>
          <w:szCs w:val="24"/>
        </w:rPr>
        <w:t>客户投诉电话：（021）31089000</w:t>
      </w:r>
    </w:p>
    <w:p w:rsidR="00750D48" w:rsidRPr="00264E55" w:rsidRDefault="00750D48" w:rsidP="00EB572F">
      <w:pPr>
        <w:spacing w:line="360" w:lineRule="auto"/>
        <w:ind w:firstLineChars="200" w:firstLine="480"/>
        <w:rPr>
          <w:rFonts w:ascii="宋体" w:hAnsi="宋体"/>
          <w:color w:val="000000"/>
          <w:sz w:val="24"/>
          <w:szCs w:val="24"/>
        </w:rPr>
      </w:pPr>
      <w:r w:rsidRPr="00264E55">
        <w:rPr>
          <w:rFonts w:ascii="宋体" w:hAnsi="宋体"/>
          <w:color w:val="000000"/>
          <w:sz w:val="24"/>
          <w:szCs w:val="24"/>
        </w:rPr>
        <w:lastRenderedPageBreak/>
        <w:t>公司网址：http://www.gtfund.com</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国泰基金管理有限公司</w:t>
      </w: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二〇一四年十月二十七日</w:t>
      </w:r>
    </w:p>
    <w:p w:rsidR="00750D48" w:rsidRPr="00264E55" w:rsidRDefault="00750D48" w:rsidP="00955BE8">
      <w:pPr>
        <w:spacing w:line="360" w:lineRule="auto"/>
        <w:ind w:left="840"/>
        <w:jc w:val="right"/>
        <w:rPr>
          <w:rFonts w:ascii="宋体"/>
          <w:b/>
          <w:bCs/>
          <w:sz w:val="24"/>
          <w:szCs w:val="24"/>
        </w:rPr>
      </w:pPr>
    </w:p>
    <w:p w:rsidR="00750D48" w:rsidRPr="00264E55" w:rsidRDefault="00750D48">
      <w:pPr>
        <w:rPr>
          <w:rFonts w:ascii="宋体"/>
          <w:sz w:val="24"/>
          <w:szCs w:val="24"/>
        </w:rPr>
      </w:pPr>
    </w:p>
    <w:sectPr w:rsidR="00750D48" w:rsidRPr="00264E55"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04F" w:rsidRDefault="00A7704F" w:rsidP="00876D65">
      <w:r>
        <w:separator/>
      </w:r>
    </w:p>
  </w:endnote>
  <w:endnote w:type="continuationSeparator" w:id="1">
    <w:p w:rsidR="00A7704F" w:rsidRDefault="00A7704F"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B5" w:rsidRDefault="00EF56B5" w:rsidP="00EF56B5">
    <w:pPr>
      <w:pStyle w:val="a6"/>
      <w:framePr w:wrap="auto" w:vAnchor="text" w:hAnchor="margin" w:xAlign="center" w:y="1"/>
      <w:rPr>
        <w:rStyle w:val="a7"/>
      </w:rPr>
    </w:pPr>
    <w:r>
      <w:rPr>
        <w:rStyle w:val="a7"/>
        <w:rFonts w:hint="eastAsia"/>
      </w:rPr>
      <w:t>第</w:t>
    </w:r>
    <w:r w:rsidR="008801A9">
      <w:rPr>
        <w:rStyle w:val="a7"/>
      </w:rPr>
      <w:fldChar w:fldCharType="begin"/>
    </w:r>
    <w:r>
      <w:rPr>
        <w:rStyle w:val="a7"/>
      </w:rPr>
      <w:instrText xml:space="preserve">PAGE  </w:instrText>
    </w:r>
    <w:r w:rsidR="008801A9">
      <w:rPr>
        <w:rStyle w:val="a7"/>
      </w:rPr>
      <w:fldChar w:fldCharType="separate"/>
    </w:r>
    <w:r w:rsidR="0069494E">
      <w:rPr>
        <w:rStyle w:val="a7"/>
        <w:noProof/>
      </w:rPr>
      <w:t>1</w:t>
    </w:r>
    <w:r w:rsidR="008801A9">
      <w:rPr>
        <w:rStyle w:val="a7"/>
      </w:rPr>
      <w:fldChar w:fldCharType="end"/>
    </w:r>
    <w:r>
      <w:rPr>
        <w:rStyle w:val="a7"/>
        <w:rFonts w:hint="eastAsia"/>
      </w:rPr>
      <w:t>页共</w:t>
    </w:r>
    <w:fldSimple w:instr=" NUMPAGES  \* Arabic  \* MERGEFORMAT ">
      <w:r w:rsidR="0069494E" w:rsidRPr="0069494E">
        <w:rPr>
          <w:rStyle w:val="a7"/>
          <w:noProof/>
        </w:rPr>
        <w:t>3</w:t>
      </w:r>
    </w:fldSimple>
    <w:r>
      <w:rPr>
        <w:rStyle w:val="a7"/>
        <w:rFonts w:hint="eastAsia"/>
      </w:rPr>
      <w:t>页</w:t>
    </w:r>
  </w:p>
  <w:p w:rsidR="00750D48" w:rsidRPr="00EF56B5" w:rsidRDefault="00750D48" w:rsidP="00EF56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8" w:rsidRDefault="00EF56B5">
    <w:pPr>
      <w:pStyle w:val="a6"/>
      <w:framePr w:wrap="auto" w:vAnchor="text" w:hAnchor="margin" w:xAlign="center" w:y="1"/>
      <w:rPr>
        <w:rStyle w:val="a7"/>
      </w:rPr>
    </w:pPr>
    <w:r>
      <w:rPr>
        <w:rStyle w:val="a7"/>
        <w:rFonts w:hint="eastAsia"/>
      </w:rPr>
      <w:t>第</w:t>
    </w:r>
    <w:r w:rsidR="008801A9">
      <w:rPr>
        <w:rStyle w:val="a7"/>
      </w:rPr>
      <w:fldChar w:fldCharType="begin"/>
    </w:r>
    <w:r>
      <w:rPr>
        <w:rStyle w:val="a7"/>
      </w:rPr>
      <w:instrText xml:space="preserve">PAGE  </w:instrText>
    </w:r>
    <w:r w:rsidR="008801A9">
      <w:rPr>
        <w:rStyle w:val="a7"/>
      </w:rPr>
      <w:fldChar w:fldCharType="separate"/>
    </w:r>
    <w:r w:rsidR="0069494E">
      <w:rPr>
        <w:rStyle w:val="a7"/>
        <w:noProof/>
      </w:rPr>
      <w:t>14</w:t>
    </w:r>
    <w:r w:rsidR="008801A9">
      <w:rPr>
        <w:rStyle w:val="a7"/>
      </w:rPr>
      <w:fldChar w:fldCharType="end"/>
    </w:r>
    <w:r>
      <w:rPr>
        <w:rStyle w:val="a7"/>
        <w:rFonts w:hint="eastAsia"/>
      </w:rPr>
      <w:t>页共</w:t>
    </w:r>
    <w:fldSimple w:instr=" NUMPAGES  \* Arabic  \* MERGEFORMAT ">
      <w:r w:rsidR="0069494E" w:rsidRPr="0069494E">
        <w:rPr>
          <w:rStyle w:val="a7"/>
          <w:noProof/>
        </w:rPr>
        <w:t>14</w:t>
      </w:r>
    </w:fldSimple>
    <w:r>
      <w:rPr>
        <w:rStyle w:val="a7"/>
        <w:rFonts w:hint="eastAsia"/>
      </w:rPr>
      <w:t>页</w:t>
    </w:r>
  </w:p>
  <w:p w:rsidR="00750D48" w:rsidRDefault="00750D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04F" w:rsidRDefault="00A7704F" w:rsidP="00876D65">
      <w:r>
        <w:separator/>
      </w:r>
    </w:p>
  </w:footnote>
  <w:footnote w:type="continuationSeparator" w:id="1">
    <w:p w:rsidR="00A7704F" w:rsidRDefault="00A7704F"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48" w:rsidRPr="00093704" w:rsidRDefault="00750D48" w:rsidP="00090A26">
    <w:pPr>
      <w:pStyle w:val="a9"/>
      <w:pBdr>
        <w:bottom w:val="single" w:sz="6" w:space="0" w:color="auto"/>
      </w:pBdr>
      <w:jc w:val="right"/>
    </w:pPr>
    <w:r w:rsidRPr="00093704">
      <w:t>国泰金牛创新成长股票型证券投资基金</w:t>
    </w:r>
    <w:r w:rsidRPr="00093704">
      <w:t>2014</w:t>
    </w:r>
    <w:r w:rsidRPr="00093704">
      <w:t>年第</w:t>
    </w:r>
    <w:r w:rsidRPr="00093704">
      <w:t>3</w:t>
    </w:r>
    <w:r w:rsidRPr="00093704">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1AC"/>
    <w:rsid w:val="00014099"/>
    <w:rsid w:val="000160C5"/>
    <w:rsid w:val="000210E7"/>
    <w:rsid w:val="00031EBB"/>
    <w:rsid w:val="00033B8D"/>
    <w:rsid w:val="00043852"/>
    <w:rsid w:val="000450DD"/>
    <w:rsid w:val="000463DE"/>
    <w:rsid w:val="0008313A"/>
    <w:rsid w:val="000907D2"/>
    <w:rsid w:val="00090A26"/>
    <w:rsid w:val="00093704"/>
    <w:rsid w:val="000A2B53"/>
    <w:rsid w:val="000B624F"/>
    <w:rsid w:val="000B73C6"/>
    <w:rsid w:val="000C190B"/>
    <w:rsid w:val="000C1E17"/>
    <w:rsid w:val="000C493C"/>
    <w:rsid w:val="000C5216"/>
    <w:rsid w:val="000D0E6C"/>
    <w:rsid w:val="000D3ED4"/>
    <w:rsid w:val="000F6CC8"/>
    <w:rsid w:val="00111261"/>
    <w:rsid w:val="00137452"/>
    <w:rsid w:val="00144F93"/>
    <w:rsid w:val="00147376"/>
    <w:rsid w:val="00150E7E"/>
    <w:rsid w:val="00154BE1"/>
    <w:rsid w:val="00160EDC"/>
    <w:rsid w:val="0016180A"/>
    <w:rsid w:val="001675CD"/>
    <w:rsid w:val="00171EF0"/>
    <w:rsid w:val="001761D2"/>
    <w:rsid w:val="001830D7"/>
    <w:rsid w:val="00185A34"/>
    <w:rsid w:val="001878B0"/>
    <w:rsid w:val="00191BDE"/>
    <w:rsid w:val="00196E6C"/>
    <w:rsid w:val="001A73E8"/>
    <w:rsid w:val="001B0A62"/>
    <w:rsid w:val="001B2F35"/>
    <w:rsid w:val="001B3C1C"/>
    <w:rsid w:val="001C0993"/>
    <w:rsid w:val="001C79F2"/>
    <w:rsid w:val="001C7E00"/>
    <w:rsid w:val="001D0DB0"/>
    <w:rsid w:val="001D63BB"/>
    <w:rsid w:val="001D6A4B"/>
    <w:rsid w:val="001E4630"/>
    <w:rsid w:val="001F0964"/>
    <w:rsid w:val="001F0EB2"/>
    <w:rsid w:val="001F30DA"/>
    <w:rsid w:val="001F5DC5"/>
    <w:rsid w:val="00200FAB"/>
    <w:rsid w:val="00213821"/>
    <w:rsid w:val="00217B92"/>
    <w:rsid w:val="002279D3"/>
    <w:rsid w:val="00240248"/>
    <w:rsid w:val="0024363B"/>
    <w:rsid w:val="00261111"/>
    <w:rsid w:val="00264E55"/>
    <w:rsid w:val="00275745"/>
    <w:rsid w:val="0027688F"/>
    <w:rsid w:val="00276E44"/>
    <w:rsid w:val="00286BEF"/>
    <w:rsid w:val="00286FA2"/>
    <w:rsid w:val="002918E3"/>
    <w:rsid w:val="002973A9"/>
    <w:rsid w:val="002B1D1A"/>
    <w:rsid w:val="002D6FB6"/>
    <w:rsid w:val="002E3B09"/>
    <w:rsid w:val="002E52B3"/>
    <w:rsid w:val="00304A12"/>
    <w:rsid w:val="00305636"/>
    <w:rsid w:val="00311662"/>
    <w:rsid w:val="00312A9F"/>
    <w:rsid w:val="00315D5D"/>
    <w:rsid w:val="00316484"/>
    <w:rsid w:val="00316E01"/>
    <w:rsid w:val="00320300"/>
    <w:rsid w:val="00324508"/>
    <w:rsid w:val="003259C8"/>
    <w:rsid w:val="003307FE"/>
    <w:rsid w:val="00342369"/>
    <w:rsid w:val="003470E2"/>
    <w:rsid w:val="00352719"/>
    <w:rsid w:val="00355364"/>
    <w:rsid w:val="00364CCB"/>
    <w:rsid w:val="0039085F"/>
    <w:rsid w:val="00394069"/>
    <w:rsid w:val="003A6061"/>
    <w:rsid w:val="003B6FBC"/>
    <w:rsid w:val="003E62FB"/>
    <w:rsid w:val="003F39DF"/>
    <w:rsid w:val="003F63BE"/>
    <w:rsid w:val="004061AC"/>
    <w:rsid w:val="004149AC"/>
    <w:rsid w:val="00415AEF"/>
    <w:rsid w:val="0042009D"/>
    <w:rsid w:val="00427F58"/>
    <w:rsid w:val="00433805"/>
    <w:rsid w:val="00466850"/>
    <w:rsid w:val="00467048"/>
    <w:rsid w:val="00471408"/>
    <w:rsid w:val="004858E0"/>
    <w:rsid w:val="004934E9"/>
    <w:rsid w:val="004943C2"/>
    <w:rsid w:val="00497D62"/>
    <w:rsid w:val="004A11A7"/>
    <w:rsid w:val="004C702F"/>
    <w:rsid w:val="004D495A"/>
    <w:rsid w:val="004D75CD"/>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02F3"/>
    <w:rsid w:val="005659E4"/>
    <w:rsid w:val="005703A1"/>
    <w:rsid w:val="005761EE"/>
    <w:rsid w:val="00582D99"/>
    <w:rsid w:val="0058551C"/>
    <w:rsid w:val="0059076B"/>
    <w:rsid w:val="00597E49"/>
    <w:rsid w:val="005A0F1F"/>
    <w:rsid w:val="005A2B83"/>
    <w:rsid w:val="005A6675"/>
    <w:rsid w:val="005B2E9C"/>
    <w:rsid w:val="005B4F93"/>
    <w:rsid w:val="005B73D2"/>
    <w:rsid w:val="005C5E5B"/>
    <w:rsid w:val="005D2B36"/>
    <w:rsid w:val="005E1093"/>
    <w:rsid w:val="005E475E"/>
    <w:rsid w:val="005F3996"/>
    <w:rsid w:val="005F6AF6"/>
    <w:rsid w:val="005F7917"/>
    <w:rsid w:val="00604C26"/>
    <w:rsid w:val="006066D2"/>
    <w:rsid w:val="0061286A"/>
    <w:rsid w:val="00614CC4"/>
    <w:rsid w:val="0062025E"/>
    <w:rsid w:val="00626998"/>
    <w:rsid w:val="006269FB"/>
    <w:rsid w:val="00631ED8"/>
    <w:rsid w:val="00636DB7"/>
    <w:rsid w:val="0063783A"/>
    <w:rsid w:val="006423B9"/>
    <w:rsid w:val="00654B0D"/>
    <w:rsid w:val="00655CD8"/>
    <w:rsid w:val="006571DC"/>
    <w:rsid w:val="00660D4B"/>
    <w:rsid w:val="00664ECC"/>
    <w:rsid w:val="00670989"/>
    <w:rsid w:val="006757DC"/>
    <w:rsid w:val="00676095"/>
    <w:rsid w:val="00693843"/>
    <w:rsid w:val="0069426C"/>
    <w:rsid w:val="0069494E"/>
    <w:rsid w:val="00694DFB"/>
    <w:rsid w:val="006A1C62"/>
    <w:rsid w:val="006A48FD"/>
    <w:rsid w:val="006A67F8"/>
    <w:rsid w:val="006A7AF1"/>
    <w:rsid w:val="006B11BB"/>
    <w:rsid w:val="006B4C11"/>
    <w:rsid w:val="006C12B8"/>
    <w:rsid w:val="006C37FC"/>
    <w:rsid w:val="006C7EA3"/>
    <w:rsid w:val="006D39E9"/>
    <w:rsid w:val="006D3BE3"/>
    <w:rsid w:val="006D7004"/>
    <w:rsid w:val="006D789D"/>
    <w:rsid w:val="006D7FF8"/>
    <w:rsid w:val="006E042A"/>
    <w:rsid w:val="006E322B"/>
    <w:rsid w:val="006F5E68"/>
    <w:rsid w:val="00706D60"/>
    <w:rsid w:val="007075E3"/>
    <w:rsid w:val="00707F66"/>
    <w:rsid w:val="00720D28"/>
    <w:rsid w:val="00722509"/>
    <w:rsid w:val="00727FCD"/>
    <w:rsid w:val="00733DDD"/>
    <w:rsid w:val="00750CDF"/>
    <w:rsid w:val="00750D48"/>
    <w:rsid w:val="00752BA5"/>
    <w:rsid w:val="00755D86"/>
    <w:rsid w:val="00767C98"/>
    <w:rsid w:val="00770971"/>
    <w:rsid w:val="00780186"/>
    <w:rsid w:val="00787D16"/>
    <w:rsid w:val="00796CA8"/>
    <w:rsid w:val="00797305"/>
    <w:rsid w:val="007B035B"/>
    <w:rsid w:val="007B4C04"/>
    <w:rsid w:val="007B5AFB"/>
    <w:rsid w:val="007C5862"/>
    <w:rsid w:val="008014F9"/>
    <w:rsid w:val="0080358B"/>
    <w:rsid w:val="008059BD"/>
    <w:rsid w:val="00812D46"/>
    <w:rsid w:val="0081561C"/>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801A9"/>
    <w:rsid w:val="00891261"/>
    <w:rsid w:val="00895A8A"/>
    <w:rsid w:val="008A21B2"/>
    <w:rsid w:val="008B2FDD"/>
    <w:rsid w:val="008C75E7"/>
    <w:rsid w:val="008C7CA8"/>
    <w:rsid w:val="008D09EC"/>
    <w:rsid w:val="008E07EB"/>
    <w:rsid w:val="008E2DCB"/>
    <w:rsid w:val="008E326D"/>
    <w:rsid w:val="008F5A8D"/>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8122D"/>
    <w:rsid w:val="00986596"/>
    <w:rsid w:val="00990685"/>
    <w:rsid w:val="009A0ABE"/>
    <w:rsid w:val="009B2D4B"/>
    <w:rsid w:val="009C4E99"/>
    <w:rsid w:val="009C5186"/>
    <w:rsid w:val="009C60F7"/>
    <w:rsid w:val="009D0952"/>
    <w:rsid w:val="009D54EA"/>
    <w:rsid w:val="009E31DA"/>
    <w:rsid w:val="009E402C"/>
    <w:rsid w:val="009E7C6A"/>
    <w:rsid w:val="009F7ED4"/>
    <w:rsid w:val="00A0086C"/>
    <w:rsid w:val="00A03AAC"/>
    <w:rsid w:val="00A047D1"/>
    <w:rsid w:val="00A22AD0"/>
    <w:rsid w:val="00A22DA8"/>
    <w:rsid w:val="00A31671"/>
    <w:rsid w:val="00A45320"/>
    <w:rsid w:val="00A5612C"/>
    <w:rsid w:val="00A5689C"/>
    <w:rsid w:val="00A57AE4"/>
    <w:rsid w:val="00A63F19"/>
    <w:rsid w:val="00A66F42"/>
    <w:rsid w:val="00A76625"/>
    <w:rsid w:val="00A7704F"/>
    <w:rsid w:val="00A82CBA"/>
    <w:rsid w:val="00A83500"/>
    <w:rsid w:val="00A90049"/>
    <w:rsid w:val="00A917BF"/>
    <w:rsid w:val="00A96A94"/>
    <w:rsid w:val="00AA3A38"/>
    <w:rsid w:val="00AA4F94"/>
    <w:rsid w:val="00AB047E"/>
    <w:rsid w:val="00AC592E"/>
    <w:rsid w:val="00AC6C10"/>
    <w:rsid w:val="00AC7BC6"/>
    <w:rsid w:val="00AD24AA"/>
    <w:rsid w:val="00AE7962"/>
    <w:rsid w:val="00B05049"/>
    <w:rsid w:val="00B12B7D"/>
    <w:rsid w:val="00B16985"/>
    <w:rsid w:val="00B221B8"/>
    <w:rsid w:val="00B27206"/>
    <w:rsid w:val="00B32AA7"/>
    <w:rsid w:val="00B4012D"/>
    <w:rsid w:val="00B40F64"/>
    <w:rsid w:val="00B426E0"/>
    <w:rsid w:val="00B42A76"/>
    <w:rsid w:val="00B7378D"/>
    <w:rsid w:val="00B82413"/>
    <w:rsid w:val="00B85352"/>
    <w:rsid w:val="00B87214"/>
    <w:rsid w:val="00B92FF5"/>
    <w:rsid w:val="00B959E6"/>
    <w:rsid w:val="00BA4338"/>
    <w:rsid w:val="00BA604D"/>
    <w:rsid w:val="00BC4585"/>
    <w:rsid w:val="00BC50F1"/>
    <w:rsid w:val="00BC73E5"/>
    <w:rsid w:val="00BD7473"/>
    <w:rsid w:val="00BD7703"/>
    <w:rsid w:val="00BE420D"/>
    <w:rsid w:val="00C21520"/>
    <w:rsid w:val="00C222B2"/>
    <w:rsid w:val="00C225FB"/>
    <w:rsid w:val="00C46B88"/>
    <w:rsid w:val="00C5218C"/>
    <w:rsid w:val="00C52191"/>
    <w:rsid w:val="00C5642F"/>
    <w:rsid w:val="00C63554"/>
    <w:rsid w:val="00C71497"/>
    <w:rsid w:val="00C72F5B"/>
    <w:rsid w:val="00C73BCD"/>
    <w:rsid w:val="00C77AEF"/>
    <w:rsid w:val="00C87129"/>
    <w:rsid w:val="00C91E1B"/>
    <w:rsid w:val="00CA2BD3"/>
    <w:rsid w:val="00CA5FD5"/>
    <w:rsid w:val="00CA7703"/>
    <w:rsid w:val="00CB0F92"/>
    <w:rsid w:val="00CD4E6D"/>
    <w:rsid w:val="00CD5707"/>
    <w:rsid w:val="00CD7702"/>
    <w:rsid w:val="00CD7FC9"/>
    <w:rsid w:val="00CE075A"/>
    <w:rsid w:val="00CE29EA"/>
    <w:rsid w:val="00CF6572"/>
    <w:rsid w:val="00D02347"/>
    <w:rsid w:val="00D04755"/>
    <w:rsid w:val="00D13737"/>
    <w:rsid w:val="00D1638E"/>
    <w:rsid w:val="00D21FFF"/>
    <w:rsid w:val="00D272A5"/>
    <w:rsid w:val="00D43AFB"/>
    <w:rsid w:val="00D564C7"/>
    <w:rsid w:val="00D57B7C"/>
    <w:rsid w:val="00D65B44"/>
    <w:rsid w:val="00D8099B"/>
    <w:rsid w:val="00D866A8"/>
    <w:rsid w:val="00D92F47"/>
    <w:rsid w:val="00D94B8D"/>
    <w:rsid w:val="00D96C8D"/>
    <w:rsid w:val="00DA2876"/>
    <w:rsid w:val="00DC0B51"/>
    <w:rsid w:val="00DE27F7"/>
    <w:rsid w:val="00E06069"/>
    <w:rsid w:val="00E44E18"/>
    <w:rsid w:val="00E54301"/>
    <w:rsid w:val="00E5483F"/>
    <w:rsid w:val="00E55ABD"/>
    <w:rsid w:val="00E60817"/>
    <w:rsid w:val="00E645C0"/>
    <w:rsid w:val="00E90C35"/>
    <w:rsid w:val="00EA70F1"/>
    <w:rsid w:val="00EB2516"/>
    <w:rsid w:val="00EB2C07"/>
    <w:rsid w:val="00EB374A"/>
    <w:rsid w:val="00EB572F"/>
    <w:rsid w:val="00ED62BE"/>
    <w:rsid w:val="00EF17AB"/>
    <w:rsid w:val="00EF56B5"/>
    <w:rsid w:val="00EF6FA5"/>
    <w:rsid w:val="00F078B5"/>
    <w:rsid w:val="00F11104"/>
    <w:rsid w:val="00F13122"/>
    <w:rsid w:val="00F16E3F"/>
    <w:rsid w:val="00F171C5"/>
    <w:rsid w:val="00F22499"/>
    <w:rsid w:val="00F22B0F"/>
    <w:rsid w:val="00F23D76"/>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lang/>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lang/>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lang/>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lang/>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lang/>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lang/>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lang/>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lang/>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lang/>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lang/>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lang/>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lang/>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lang/>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lang/>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75A8-539B-476B-B395-C47001D1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14</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王莉宏:</cp:lastModifiedBy>
  <cp:revision>257</cp:revision>
  <dcterms:created xsi:type="dcterms:W3CDTF">2012-10-16T06:07:00Z</dcterms:created>
  <dcterms:modified xsi:type="dcterms:W3CDTF">2014-10-23T07:49:00Z</dcterms:modified>
</cp:coreProperties>
</file>